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9607" w14:textId="5775F6DC" w:rsidR="00C7195F" w:rsidRPr="00BF0EBD" w:rsidRDefault="00C7195F" w:rsidP="003C51B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Приложение към Заповед </w:t>
      </w:r>
      <w:r w:rsidR="00BF0EBD">
        <w:rPr>
          <w:b/>
        </w:rPr>
        <w:t xml:space="preserve">№ </w:t>
      </w:r>
      <w:r w:rsidR="00376DA2">
        <w:rPr>
          <w:b/>
        </w:rPr>
        <w:t>РД-49-</w:t>
      </w:r>
      <w:bookmarkStart w:id="0" w:name="_GoBack"/>
      <w:bookmarkEnd w:id="0"/>
      <w:r w:rsidR="00376DA2">
        <w:rPr>
          <w:b/>
          <w:lang w:val="en-US"/>
        </w:rPr>
        <w:t>236/02.06.</w:t>
      </w:r>
      <w:r w:rsidR="00EB28F1">
        <w:rPr>
          <w:b/>
        </w:rPr>
        <w:t>202</w:t>
      </w:r>
      <w:r w:rsidR="00DF3014">
        <w:rPr>
          <w:b/>
        </w:rPr>
        <w:t>3</w:t>
      </w:r>
      <w:r w:rsidR="00EB28F1">
        <w:rPr>
          <w:b/>
        </w:rPr>
        <w:t xml:space="preserve"> г.</w:t>
      </w:r>
      <w:r w:rsidR="00BF0EBD">
        <w:rPr>
          <w:b/>
        </w:rPr>
        <w:t xml:space="preserve"> </w:t>
      </w:r>
      <w:r>
        <w:rPr>
          <w:b/>
        </w:rPr>
        <w:t>на министъра на земеделието</w:t>
      </w:r>
    </w:p>
    <w:p w14:paraId="02B92A9E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4A498FD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8DD9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1E25A54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14:paraId="03B01522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14:paraId="1527758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D5B3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258B398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14:paraId="6FEE7B5C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14:paraId="2AFF7644" w14:textId="51C33414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>Чл. 1.</w:t>
      </w:r>
      <w:r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</w:t>
      </w:r>
      <w:r w:rsidR="001C24A7" w:rsidRPr="001C24A7">
        <w:rPr>
          <w:rFonts w:eastAsia="Times New Roman"/>
          <w:lang w:val="bg" w:eastAsia="zh-CN" w:bidi="ar"/>
        </w:rPr>
        <w:t xml:space="preserve"> </w:t>
      </w:r>
      <w:r w:rsidR="001C24A7">
        <w:rPr>
          <w:rFonts w:eastAsia="Times New Roman"/>
          <w:lang w:val="bg" w:eastAsia="zh-CN" w:bidi="ar"/>
        </w:rPr>
        <w:t>със средства от фонд „Инвестиции в горите“</w:t>
      </w:r>
      <w:r w:rsidRPr="007D01E2">
        <w:rPr>
          <w:rFonts w:eastAsia="Times New Roman"/>
          <w:lang w:val="bg" w:eastAsia="zh-CN" w:bidi="ar"/>
        </w:rPr>
        <w:t>.</w:t>
      </w:r>
    </w:p>
    <w:p w14:paraId="2568D7E9" w14:textId="183EA74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lang w:val="bg" w:eastAsia="zh-CN" w:bidi="ar"/>
        </w:rPr>
        <w:t xml:space="preserve">Чл. 2. </w:t>
      </w:r>
      <w:r w:rsidRPr="007D01E2">
        <w:rPr>
          <w:rFonts w:eastAsia="Times New Roman"/>
          <w:lang w:val="bg" w:eastAsia="zh-CN" w:bidi="ar"/>
        </w:rPr>
        <w:t xml:space="preserve">Закупуването на поземлени имоти в горски територии от ДП има за цел по-ефективното им </w:t>
      </w:r>
      <w:r w:rsidR="001C24A7">
        <w:rPr>
          <w:rFonts w:eastAsia="Times New Roman"/>
          <w:lang w:val="bg" w:eastAsia="zh-CN" w:bidi="ar"/>
        </w:rPr>
        <w:t xml:space="preserve">управление, </w:t>
      </w:r>
      <w:r w:rsidRPr="007D01E2">
        <w:rPr>
          <w:rFonts w:eastAsia="Times New Roman"/>
          <w:lang w:val="bg" w:eastAsia="zh-CN" w:bidi="ar"/>
        </w:rPr>
        <w:t>стопанисване и опазване.</w:t>
      </w:r>
    </w:p>
    <w:p w14:paraId="422FCAE1" w14:textId="4DD538C8" w:rsidR="00C7195F" w:rsidRPr="007D01E2" w:rsidRDefault="00C7195F">
      <w:pPr>
        <w:spacing w:line="266" w:lineRule="auto"/>
        <w:ind w:firstLine="567"/>
        <w:jc w:val="both"/>
        <w:textAlignment w:val="center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3. </w:t>
      </w:r>
      <w:r w:rsidR="001C24A7" w:rsidRPr="001C24A7">
        <w:rPr>
          <w:rFonts w:eastAsia="Times New Roman"/>
          <w:lang w:val="bg" w:eastAsia="zh-CN" w:bidi="ar"/>
        </w:rPr>
        <w:t>Закупуването</w:t>
      </w:r>
      <w:r w:rsidR="001C24A7">
        <w:rPr>
          <w:rFonts w:eastAsia="Times New Roman"/>
          <w:b/>
          <w:bCs/>
          <w:lang w:val="bg" w:eastAsia="zh-CN" w:bidi="ar"/>
        </w:rPr>
        <w:t xml:space="preserve"> </w:t>
      </w:r>
      <w:r w:rsidR="001C24A7" w:rsidRPr="007D01E2">
        <w:rPr>
          <w:rFonts w:eastAsia="Times New Roman"/>
          <w:lang w:val="bg" w:eastAsia="zh-CN" w:bidi="ar"/>
        </w:rPr>
        <w:t xml:space="preserve">от държавните предприятия </w:t>
      </w:r>
      <w:r w:rsidRPr="007D01E2">
        <w:rPr>
          <w:rFonts w:eastAsia="Times New Roman"/>
          <w:lang w:val="bg" w:eastAsia="zh-CN" w:bidi="ar"/>
        </w:rPr>
        <w:t xml:space="preserve">на поземлените имоти в горски територии, предложени от техните собственици , се осъществява в съответствие с принципите на добро финансово управление, публичност и прозрачност. </w:t>
      </w:r>
    </w:p>
    <w:p w14:paraId="1B0D4C76" w14:textId="76F8A790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</w:t>
      </w:r>
      <w:r w:rsidR="001C24A7">
        <w:rPr>
          <w:rFonts w:eastAsia="Times New Roman"/>
          <w:b/>
          <w:bCs/>
          <w:lang w:val="bg" w:eastAsia="zh-CN" w:bidi="ar"/>
        </w:rPr>
        <w:t>4</w:t>
      </w:r>
      <w:r w:rsidRPr="007D01E2">
        <w:rPr>
          <w:rFonts w:eastAsia="Times New Roman"/>
          <w:b/>
          <w:bCs/>
          <w:lang w:val="bg" w:eastAsia="zh-CN" w:bidi="ar"/>
        </w:rPr>
        <w:t xml:space="preserve">. </w:t>
      </w:r>
      <w:r w:rsidRPr="007D01E2">
        <w:rPr>
          <w:rFonts w:eastAsia="Times New Roman"/>
          <w:bCs/>
          <w:lang w:val="bg" w:eastAsia="zh-CN" w:bidi="ar"/>
        </w:rPr>
        <w:t>Държавните предприятия н</w:t>
      </w:r>
      <w:r w:rsidRPr="007D01E2">
        <w:rPr>
          <w:rFonts w:eastAsia="Times New Roman"/>
          <w:lang w:val="bg" w:eastAsia="zh-CN" w:bidi="ar"/>
        </w:rPr>
        <w:t>е закупуват поземлени имоти в горски територии, които</w:t>
      </w:r>
      <w:r w:rsidRPr="00DF3014"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са:</w:t>
      </w:r>
    </w:p>
    <w:p w14:paraId="42F2AB36" w14:textId="77777777" w:rsidR="00106709" w:rsidRDefault="001C24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1. </w:t>
      </w:r>
      <w:r w:rsidR="00106709" w:rsidRPr="007D01E2">
        <w:rPr>
          <w:rFonts w:eastAsia="Times New Roman"/>
          <w:lang w:val="bg" w:eastAsia="zh-CN" w:bidi="ar"/>
        </w:rPr>
        <w:t>земеделски територии, придобили характеристиките на гора по смисъла на Закона за горите</w:t>
      </w:r>
      <w:r w:rsidR="00106709">
        <w:rPr>
          <w:rFonts w:eastAsia="Times New Roman"/>
          <w:lang w:val="bg" w:eastAsia="zh-CN" w:bidi="ar"/>
        </w:rPr>
        <w:t>;</w:t>
      </w:r>
    </w:p>
    <w:p w14:paraId="7A4B4E24" w14:textId="07C177A7" w:rsidR="00106709" w:rsidRDefault="001067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2. </w:t>
      </w:r>
      <w:r w:rsidR="001C24A7">
        <w:rPr>
          <w:rFonts w:eastAsia="Times New Roman"/>
          <w:lang w:val="bg" w:eastAsia="zh-CN" w:bidi="ar"/>
        </w:rPr>
        <w:t>идеални или реални части от</w:t>
      </w:r>
      <w:r w:rsidR="00A13A31">
        <w:rPr>
          <w:rFonts w:eastAsia="Times New Roman"/>
          <w:lang w:val="bg" w:eastAsia="zh-CN" w:bidi="ar"/>
        </w:rPr>
        <w:t xml:space="preserve"> поземлени имоти,</w:t>
      </w:r>
      <w:r w:rsidR="001C24A7">
        <w:rPr>
          <w:rFonts w:eastAsia="Times New Roman"/>
          <w:lang w:val="bg" w:eastAsia="zh-CN" w:bidi="ar"/>
        </w:rPr>
        <w:t xml:space="preserve"> гор</w:t>
      </w:r>
      <w:r w:rsidR="00A13A31">
        <w:rPr>
          <w:rFonts w:eastAsia="Times New Roman"/>
          <w:lang w:val="bg" w:eastAsia="zh-CN" w:bidi="ar"/>
        </w:rPr>
        <w:t>ски територии, собственост</w:t>
      </w:r>
      <w:r w:rsidR="001C24A7">
        <w:rPr>
          <w:rFonts w:eastAsia="Times New Roman"/>
          <w:lang w:val="bg" w:eastAsia="zh-CN" w:bidi="ar"/>
        </w:rPr>
        <w:t xml:space="preserve"> на </w:t>
      </w:r>
      <w:r w:rsidR="00A11AE5">
        <w:rPr>
          <w:rFonts w:eastAsia="Times New Roman"/>
          <w:lang w:val="bg" w:eastAsia="zh-CN" w:bidi="ar"/>
        </w:rPr>
        <w:t xml:space="preserve">физически лица, </w:t>
      </w:r>
      <w:r w:rsidR="001C24A7">
        <w:rPr>
          <w:rFonts w:eastAsia="Times New Roman"/>
          <w:lang w:val="bg" w:eastAsia="zh-CN" w:bidi="ar"/>
        </w:rPr>
        <w:t>сдружения, кооперации и ревири</w:t>
      </w:r>
      <w:r>
        <w:rPr>
          <w:rFonts w:eastAsia="Times New Roman"/>
          <w:lang w:val="bg" w:eastAsia="zh-CN" w:bidi="ar"/>
        </w:rPr>
        <w:t>;</w:t>
      </w:r>
    </w:p>
    <w:p w14:paraId="3C3630E1" w14:textId="7CFA0557" w:rsidR="00C7195F" w:rsidRPr="007D01E2" w:rsidRDefault="00106709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3</w:t>
      </w:r>
      <w:r w:rsidR="00C7195F" w:rsidRPr="007D01E2">
        <w:rPr>
          <w:rFonts w:eastAsia="Times New Roman"/>
          <w:lang w:val="bg" w:eastAsia="zh-CN" w:bidi="ar"/>
        </w:rPr>
        <w:t>. били предмет на договор за замяна между държавата и физически или юридически лица;</w:t>
      </w:r>
    </w:p>
    <w:p w14:paraId="05FE04BA" w14:textId="2FCF4A30" w:rsidR="00C7195F" w:rsidRDefault="001067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4</w:t>
      </w:r>
      <w:r w:rsidR="00C7195F" w:rsidRPr="007D01E2">
        <w:rPr>
          <w:rFonts w:eastAsia="Times New Roman"/>
          <w:lang w:val="bg" w:eastAsia="zh-CN" w:bidi="ar"/>
        </w:rPr>
        <w:t>. придобити в резултат на покупко-продажба</w:t>
      </w:r>
      <w:r w:rsidR="00C11F9B">
        <w:rPr>
          <w:rFonts w:eastAsia="Times New Roman"/>
          <w:lang w:val="bg" w:eastAsia="zh-CN" w:bidi="ar"/>
        </w:rPr>
        <w:t>,</w:t>
      </w:r>
      <w:r w:rsidR="00C7195F" w:rsidRPr="007D01E2">
        <w:rPr>
          <w:rFonts w:eastAsia="Times New Roman"/>
          <w:lang w:val="bg" w:eastAsia="zh-CN" w:bidi="ar"/>
        </w:rPr>
        <w:t xml:space="preserve"> замяна </w:t>
      </w:r>
      <w:r w:rsidR="00C11F9B">
        <w:rPr>
          <w:rFonts w:eastAsia="Times New Roman"/>
          <w:lang w:val="bg" w:eastAsia="zh-CN" w:bidi="ar"/>
        </w:rPr>
        <w:t xml:space="preserve">или дарения </w:t>
      </w:r>
      <w:r w:rsidR="00C7195F" w:rsidRPr="007D01E2">
        <w:rPr>
          <w:rFonts w:eastAsia="Times New Roman"/>
          <w:lang w:val="bg" w:eastAsia="zh-CN" w:bidi="ar"/>
        </w:rPr>
        <w:t xml:space="preserve">през предходните </w:t>
      </w:r>
      <w:r w:rsidR="00C11F9B">
        <w:rPr>
          <w:rFonts w:eastAsia="Times New Roman"/>
          <w:lang w:val="bg" w:eastAsia="zh-CN" w:bidi="ar"/>
        </w:rPr>
        <w:t>4</w:t>
      </w:r>
      <w:r w:rsidR="00B93009" w:rsidRPr="007D01E2">
        <w:rPr>
          <w:rFonts w:eastAsia="Times New Roman"/>
          <w:lang w:eastAsia="zh-CN" w:bidi="ar"/>
        </w:rPr>
        <w:t xml:space="preserve"> </w:t>
      </w:r>
      <w:r w:rsidR="00C7195F" w:rsidRPr="007D01E2">
        <w:rPr>
          <w:rFonts w:eastAsia="Times New Roman"/>
          <w:lang w:val="bg" w:eastAsia="zh-CN" w:bidi="ar"/>
        </w:rPr>
        <w:t>години, считано от датата на публичното оповестяване на стартирането на процедурата;</w:t>
      </w:r>
    </w:p>
    <w:p w14:paraId="0861DBC0" w14:textId="6297F5F2" w:rsidR="00795747" w:rsidRDefault="0079574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5. имоти, в които попадат сгради, съоръжения и други, к</w:t>
      </w:r>
      <w:r w:rsidR="004D155A">
        <w:rPr>
          <w:rFonts w:eastAsia="Times New Roman"/>
          <w:lang w:val="bg" w:eastAsia="zh-CN" w:bidi="ar"/>
        </w:rPr>
        <w:t>оито не са държавна собственост;</w:t>
      </w:r>
    </w:p>
    <w:p w14:paraId="5D1F218C" w14:textId="316AB5F6" w:rsidR="004D155A" w:rsidRPr="007D01E2" w:rsidRDefault="004D155A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6. </w:t>
      </w:r>
      <w:r w:rsidRPr="004D155A">
        <w:rPr>
          <w:rFonts w:eastAsia="Times New Roman"/>
          <w:lang w:val="bg" w:eastAsia="zh-CN" w:bidi="ar"/>
        </w:rPr>
        <w:t>имоти, собствениците, на които са направили отказ през предходните 12 месеца за продажба на заявени за закупуване от ДП имоти на цена, определена с оценката, изготвена от правоспособен оценител.</w:t>
      </w:r>
    </w:p>
    <w:p w14:paraId="2CE00C15" w14:textId="5B16D53F" w:rsidR="00C7195F" w:rsidRDefault="00C7195F" w:rsidP="00106709">
      <w:pPr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 xml:space="preserve">Чл. </w:t>
      </w:r>
      <w:r w:rsidR="001C24A7">
        <w:rPr>
          <w:rFonts w:eastAsia="Times New Roman"/>
          <w:b/>
          <w:lang w:val="bg" w:eastAsia="zh-CN" w:bidi="ar"/>
        </w:rPr>
        <w:t>5</w:t>
      </w:r>
      <w:r w:rsidRPr="007D01E2">
        <w:rPr>
          <w:rFonts w:eastAsia="Times New Roman"/>
          <w:b/>
          <w:lang w:val="bg" w:eastAsia="zh-CN" w:bidi="ar"/>
        </w:rPr>
        <w:t>.</w:t>
      </w:r>
      <w:r w:rsidRPr="007D01E2">
        <w:rPr>
          <w:rFonts w:eastAsia="Times New Roman"/>
          <w:lang w:val="bg" w:eastAsia="zh-CN" w:bidi="ar"/>
        </w:rPr>
        <w:t xml:space="preserve"> </w:t>
      </w:r>
      <w:r w:rsidR="008240F4" w:rsidRPr="007D01E2">
        <w:rPr>
          <w:rFonts w:eastAsia="Times New Roman"/>
          <w:lang w:eastAsia="zh-CN" w:bidi="ar"/>
        </w:rPr>
        <w:t xml:space="preserve">(1) </w:t>
      </w:r>
      <w:r w:rsidRPr="007D01E2">
        <w:rPr>
          <w:rFonts w:eastAsia="Times New Roman"/>
          <w:lang w:val="bg" w:eastAsia="zh-CN" w:bidi="ar"/>
        </w:rPr>
        <w:t>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</w:t>
      </w:r>
      <w:r w:rsidR="00CC01F0">
        <w:t xml:space="preserve">, информацията за които се публикува на </w:t>
      </w:r>
      <w:r w:rsidR="00CC01F0" w:rsidRPr="00CC01F0">
        <w:rPr>
          <w:rFonts w:eastAsia="Times New Roman"/>
          <w:lang w:val="bg" w:eastAsia="zh-CN" w:bidi="ar"/>
        </w:rPr>
        <w:t xml:space="preserve"> интернет страниците на съответното ДП, </w:t>
      </w:r>
      <w:r w:rsidR="00106709" w:rsidRPr="007D01E2">
        <w:rPr>
          <w:rFonts w:eastAsia="Times New Roman"/>
          <w:lang w:val="bg" w:eastAsia="zh-CN" w:bidi="ar"/>
        </w:rPr>
        <w:t xml:space="preserve">държавно горско и държавно ловно стопанство </w:t>
      </w:r>
      <w:r w:rsidR="00106709">
        <w:rPr>
          <w:rFonts w:eastAsia="Times New Roman"/>
          <w:lang w:val="bg" w:eastAsia="zh-CN" w:bidi="ar"/>
        </w:rPr>
        <w:t>(</w:t>
      </w:r>
      <w:r w:rsidR="00CC01F0" w:rsidRPr="00CC01F0">
        <w:rPr>
          <w:rFonts w:eastAsia="Times New Roman"/>
          <w:lang w:val="bg" w:eastAsia="zh-CN" w:bidi="ar"/>
        </w:rPr>
        <w:t>ДГС</w:t>
      </w:r>
      <w:r w:rsidR="00A937C9">
        <w:rPr>
          <w:rFonts w:eastAsia="Times New Roman"/>
          <w:lang w:val="bg" w:eastAsia="zh-CN" w:bidi="ar"/>
        </w:rPr>
        <w:t>/</w:t>
      </w:r>
      <w:r w:rsidR="00CC01F0" w:rsidRPr="00CC01F0">
        <w:rPr>
          <w:rFonts w:eastAsia="Times New Roman"/>
          <w:lang w:val="bg" w:eastAsia="zh-CN" w:bidi="ar"/>
        </w:rPr>
        <w:t>ДЛС</w:t>
      </w:r>
      <w:r w:rsidR="00106709">
        <w:rPr>
          <w:rFonts w:eastAsia="Times New Roman"/>
          <w:lang w:val="bg" w:eastAsia="zh-CN" w:bidi="ar"/>
        </w:rPr>
        <w:t>)</w:t>
      </w:r>
      <w:r w:rsidR="00CC01F0">
        <w:rPr>
          <w:rFonts w:eastAsia="Times New Roman"/>
          <w:lang w:val="bg" w:eastAsia="zh-CN" w:bidi="ar"/>
        </w:rPr>
        <w:t>.</w:t>
      </w:r>
    </w:p>
    <w:p w14:paraId="531CA338" w14:textId="51CAFCA9" w:rsidR="001C24A7" w:rsidRPr="007D01E2" w:rsidRDefault="001C24A7" w:rsidP="001C24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(2) При необходимост от допълнителни средства от фонд „Инвестиции в горите“ за закупуване на поземлени имоти в горски територии за съответната календарна година, след решение на управителния съвет на съответното предприятие може да се внесе предложение до министъра на земеделието за утвърждаване на изме</w:t>
      </w:r>
      <w:r w:rsidR="0047091E">
        <w:rPr>
          <w:rFonts w:eastAsia="Times New Roman"/>
          <w:lang w:val="bg" w:eastAsia="zh-CN" w:bidi="ar"/>
        </w:rPr>
        <w:t>нение на годишния финансов план.</w:t>
      </w:r>
      <w:r>
        <w:rPr>
          <w:rFonts w:eastAsia="Times New Roman"/>
          <w:lang w:val="bg" w:eastAsia="zh-CN" w:bidi="ar"/>
        </w:rPr>
        <w:t xml:space="preserve"> </w:t>
      </w:r>
    </w:p>
    <w:p w14:paraId="0D299B6E" w14:textId="5740F553" w:rsidR="008240F4" w:rsidRDefault="008240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lang w:val="bg" w:eastAsia="zh-CN" w:bidi="ar"/>
        </w:rPr>
        <w:t>(</w:t>
      </w:r>
      <w:r w:rsidR="001C24A7">
        <w:rPr>
          <w:rFonts w:eastAsia="Times New Roman"/>
          <w:lang w:val="bg" w:eastAsia="zh-CN" w:bidi="ar"/>
        </w:rPr>
        <w:t>3</w:t>
      </w:r>
      <w:r w:rsidRPr="007D01E2">
        <w:rPr>
          <w:rFonts w:eastAsia="Times New Roman"/>
          <w:lang w:val="bg" w:eastAsia="zh-CN" w:bidi="ar"/>
        </w:rPr>
        <w:t xml:space="preserve">) Средствата на фонд „Инвестиции в горите“ се използват за </w:t>
      </w:r>
      <w:r w:rsidR="002472C2">
        <w:rPr>
          <w:rFonts w:eastAsia="Times New Roman"/>
          <w:lang w:val="bg" w:eastAsia="zh-CN" w:bidi="ar"/>
        </w:rPr>
        <w:t>обезпечаване</w:t>
      </w:r>
      <w:r w:rsidR="002472C2" w:rsidRPr="007D01E2"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 xml:space="preserve">на всички разходи за закупуване на </w:t>
      </w:r>
      <w:r w:rsidR="00A1157C" w:rsidRPr="007D01E2">
        <w:rPr>
          <w:rFonts w:eastAsia="Times New Roman"/>
          <w:lang w:val="bg" w:eastAsia="zh-CN" w:bidi="ar"/>
        </w:rPr>
        <w:t>поземлени имоти в горски територии</w:t>
      </w:r>
      <w:r w:rsidR="0041737C" w:rsidRPr="007D01E2">
        <w:rPr>
          <w:rFonts w:eastAsia="Times New Roman"/>
          <w:lang w:val="bg" w:eastAsia="zh-CN" w:bidi="ar"/>
        </w:rPr>
        <w:t xml:space="preserve"> – стойност на имотите, </w:t>
      </w:r>
      <w:r w:rsidR="00A1157C" w:rsidRPr="007D01E2">
        <w:rPr>
          <w:rFonts w:eastAsia="Times New Roman"/>
          <w:lang w:val="bg" w:eastAsia="zh-CN" w:bidi="ar"/>
        </w:rPr>
        <w:t xml:space="preserve">изготвяне на оценки на имотите от независими оценители, </w:t>
      </w:r>
      <w:r w:rsidR="00030713" w:rsidRPr="007D01E2">
        <w:rPr>
          <w:rFonts w:eastAsia="Times New Roman"/>
          <w:lang w:val="bg" w:eastAsia="zh-CN" w:bidi="ar"/>
        </w:rPr>
        <w:t xml:space="preserve">местен данък за придобиване, </w:t>
      </w:r>
      <w:r w:rsidR="00F54B71" w:rsidRPr="007D01E2">
        <w:rPr>
          <w:rFonts w:eastAsia="Times New Roman"/>
          <w:lang w:val="bg" w:eastAsia="zh-CN" w:bidi="ar"/>
        </w:rPr>
        <w:t>нотариални</w:t>
      </w:r>
      <w:r w:rsidR="00030713" w:rsidRPr="007D01E2">
        <w:rPr>
          <w:rFonts w:eastAsia="Times New Roman"/>
          <w:lang w:val="bg" w:eastAsia="zh-CN" w:bidi="ar"/>
        </w:rPr>
        <w:t xml:space="preserve"> такс</w:t>
      </w:r>
      <w:r w:rsidR="00F54B71" w:rsidRPr="007D01E2">
        <w:rPr>
          <w:rFonts w:eastAsia="Times New Roman"/>
          <w:lang w:val="bg" w:eastAsia="zh-CN" w:bidi="ar"/>
        </w:rPr>
        <w:t>и</w:t>
      </w:r>
      <w:r w:rsidR="00726D49">
        <w:rPr>
          <w:rFonts w:eastAsia="Times New Roman"/>
          <w:lang w:val="bg" w:eastAsia="zh-CN" w:bidi="ar"/>
        </w:rPr>
        <w:t xml:space="preserve"> и</w:t>
      </w:r>
      <w:r w:rsidR="000F37B2" w:rsidRPr="007D01E2">
        <w:rPr>
          <w:rFonts w:eastAsia="Times New Roman"/>
          <w:lang w:eastAsia="zh-CN" w:bidi="ar"/>
        </w:rPr>
        <w:t xml:space="preserve"> </w:t>
      </w:r>
      <w:r w:rsidR="00030713" w:rsidRPr="007D01E2">
        <w:rPr>
          <w:rFonts w:eastAsia="Times New Roman"/>
          <w:lang w:val="bg" w:eastAsia="zh-CN" w:bidi="ar"/>
        </w:rPr>
        <w:t>такса за вписване в Агенция</w:t>
      </w:r>
      <w:r w:rsidR="00EA52C2" w:rsidRPr="007D01E2">
        <w:rPr>
          <w:rFonts w:eastAsia="Times New Roman"/>
          <w:lang w:val="bg" w:eastAsia="zh-CN" w:bidi="ar"/>
        </w:rPr>
        <w:t>та</w:t>
      </w:r>
      <w:r w:rsidR="00030713" w:rsidRPr="007D01E2">
        <w:rPr>
          <w:rFonts w:eastAsia="Times New Roman"/>
          <w:lang w:val="bg" w:eastAsia="zh-CN" w:bidi="ar"/>
        </w:rPr>
        <w:t xml:space="preserve"> по вписванията</w:t>
      </w:r>
      <w:r w:rsidR="0041737C" w:rsidRPr="007D01E2">
        <w:rPr>
          <w:rFonts w:eastAsia="Times New Roman"/>
          <w:lang w:val="bg" w:eastAsia="zh-CN" w:bidi="ar"/>
        </w:rPr>
        <w:t>.</w:t>
      </w:r>
      <w:r w:rsidR="00A1157C" w:rsidRPr="007D01E2">
        <w:rPr>
          <w:rFonts w:eastAsia="Times New Roman"/>
          <w:lang w:val="bg" w:eastAsia="zh-CN" w:bidi="ar"/>
        </w:rPr>
        <w:t xml:space="preserve"> </w:t>
      </w:r>
    </w:p>
    <w:p w14:paraId="4825600A" w14:textId="05020775" w:rsidR="001C24A7" w:rsidRDefault="001C24A7" w:rsidP="004D1F9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 xml:space="preserve">Чл. </w:t>
      </w:r>
      <w:r>
        <w:rPr>
          <w:rFonts w:eastAsia="Times New Roman"/>
          <w:b/>
          <w:lang w:val="bg" w:eastAsia="zh-CN" w:bidi="ar"/>
        </w:rPr>
        <w:t>6.</w:t>
      </w:r>
      <w:r w:rsidR="00CC01F0">
        <w:rPr>
          <w:rFonts w:eastAsia="Times New Roman"/>
          <w:b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Всяко ДП</w:t>
      </w:r>
      <w:r w:rsidR="00106709">
        <w:rPr>
          <w:rFonts w:eastAsia="Times New Roman"/>
          <w:lang w:val="bg" w:eastAsia="zh-CN" w:bidi="ar"/>
        </w:rPr>
        <w:t xml:space="preserve">, </w:t>
      </w:r>
      <w:r w:rsidRPr="007D01E2">
        <w:rPr>
          <w:rFonts w:eastAsia="Times New Roman"/>
          <w:lang w:val="bg" w:eastAsia="zh-CN" w:bidi="ar"/>
        </w:rPr>
        <w:t>ДГС</w:t>
      </w:r>
      <w:r w:rsidR="00A937C9">
        <w:rPr>
          <w:rFonts w:eastAsia="Times New Roman"/>
          <w:lang w:val="bg" w:eastAsia="zh-CN" w:bidi="ar"/>
        </w:rPr>
        <w:t>/</w:t>
      </w:r>
      <w:r w:rsidRPr="007D01E2">
        <w:rPr>
          <w:rFonts w:eastAsia="Times New Roman"/>
          <w:lang w:val="bg" w:eastAsia="zh-CN" w:bidi="ar"/>
        </w:rPr>
        <w:t>ДЛС, определя отговорни служители, които консултират заинтересованите лица по въпроси, свързани с попълването и подаването на изискуемите документи</w:t>
      </w:r>
      <w:r w:rsidR="004D1F98">
        <w:rPr>
          <w:rFonts w:eastAsia="Times New Roman"/>
          <w:lang w:val="bg" w:eastAsia="zh-CN" w:bidi="ar"/>
        </w:rPr>
        <w:t xml:space="preserve"> и</w:t>
      </w:r>
      <w:r w:rsidRPr="007D01E2">
        <w:rPr>
          <w:rFonts w:eastAsia="Times New Roman"/>
          <w:lang w:val="bg" w:eastAsia="zh-CN" w:bidi="ar"/>
        </w:rPr>
        <w:t xml:space="preserve"> тяхното разглеждане, съгласно настоящите Правила. Имената на служителите и телефоните за контакт с тях се публикуват на интернет страниците на </w:t>
      </w:r>
      <w:bookmarkStart w:id="1" w:name="_Hlk135955285"/>
      <w:r w:rsidRPr="007D01E2">
        <w:rPr>
          <w:rFonts w:eastAsia="Times New Roman"/>
          <w:lang w:val="bg" w:eastAsia="zh-CN" w:bidi="ar"/>
        </w:rPr>
        <w:t>съответното ДП, ДГС</w:t>
      </w:r>
      <w:r w:rsidR="00A937C9">
        <w:rPr>
          <w:rFonts w:eastAsia="Times New Roman"/>
          <w:lang w:val="bg" w:eastAsia="zh-CN" w:bidi="ar"/>
        </w:rPr>
        <w:t>/</w:t>
      </w:r>
      <w:r w:rsidRPr="007D01E2">
        <w:rPr>
          <w:rFonts w:eastAsia="Times New Roman"/>
          <w:lang w:val="bg" w:eastAsia="zh-CN" w:bidi="ar"/>
        </w:rPr>
        <w:t>ДЛС</w:t>
      </w:r>
      <w:bookmarkEnd w:id="1"/>
      <w:r w:rsidRPr="007D01E2">
        <w:rPr>
          <w:rFonts w:eastAsia="Times New Roman"/>
          <w:lang w:val="bg" w:eastAsia="zh-CN" w:bidi="ar"/>
        </w:rPr>
        <w:t xml:space="preserve">. </w:t>
      </w:r>
    </w:p>
    <w:p w14:paraId="50254B54" w14:textId="7A5B991C" w:rsidR="001C24A7" w:rsidRPr="007D01E2" w:rsidRDefault="001C24A7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</w:p>
    <w:p w14:paraId="2A3C59E5" w14:textId="77777777" w:rsidR="00C7195F" w:rsidRPr="007D01E2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</w:p>
    <w:p w14:paraId="68517EFB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втора</w:t>
      </w:r>
    </w:p>
    <w:p w14:paraId="19814664" w14:textId="72106729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 xml:space="preserve">РЕД ЗА РАЗГЛЕЖДАНЕ НА ЗАЯВЛЕНИЯТА </w:t>
      </w:r>
    </w:p>
    <w:p w14:paraId="0F7630B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I.</w:t>
      </w:r>
      <w:r>
        <w:rPr>
          <w:rFonts w:eastAsia="Times New Roman"/>
          <w:b/>
          <w:lang w:val="bg" w:eastAsia="zh-CN" w:bidi="ar"/>
        </w:rPr>
        <w:br/>
        <w:t>Общи изисквания към документите и ред за кандидатстване</w:t>
      </w:r>
    </w:p>
    <w:p w14:paraId="443698EB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D95460F" w14:textId="5A8AAE9E"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A036A1">
        <w:rPr>
          <w:rFonts w:eastAsia="Times New Roman"/>
          <w:b/>
          <w:lang w:val="bg" w:eastAsia="zh-CN" w:bidi="ar"/>
        </w:rPr>
        <w:t>7</w:t>
      </w:r>
      <w:r>
        <w:rPr>
          <w:rFonts w:eastAsia="Times New Roman"/>
          <w:b/>
          <w:lang w:val="bg" w:eastAsia="zh-CN" w:bidi="ar"/>
        </w:rPr>
        <w:t xml:space="preserve">. </w:t>
      </w:r>
      <w:r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Собствениците на горски територии, които желаят да ги предложат за закупуване от ДП, подават заявление по образец – </w:t>
      </w:r>
      <w:r w:rsidRPr="00A937C9">
        <w:rPr>
          <w:rFonts w:eastAsia="Times New Roman"/>
          <w:i/>
          <w:iCs/>
          <w:lang w:val="bg" w:eastAsia="zh-CN" w:bidi="ar"/>
        </w:rPr>
        <w:t>Приложение № 1</w:t>
      </w:r>
      <w:r>
        <w:rPr>
          <w:rFonts w:eastAsia="Times New Roman"/>
          <w:lang w:val="bg" w:eastAsia="zh-CN" w:bidi="ar"/>
        </w:rPr>
        <w:t xml:space="preserve">, в ДП или в ДГС/ДЛС, в чиито обхват на дейност се намира поземленият имот. Заявления могат да се депозират и по пощата или чрез куриер </w:t>
      </w:r>
      <w:r w:rsidR="00A036A1">
        <w:rPr>
          <w:rFonts w:eastAsia="Times New Roman"/>
          <w:lang w:val="bg" w:eastAsia="zh-CN" w:bidi="ar"/>
        </w:rPr>
        <w:t xml:space="preserve"> целогодишно</w:t>
      </w:r>
      <w:r>
        <w:rPr>
          <w:rFonts w:eastAsia="Times New Roman"/>
          <w:lang w:val="bg" w:eastAsia="zh-CN" w:bidi="ar"/>
        </w:rPr>
        <w:t>. Всички</w:t>
      </w:r>
      <w:r w:rsidR="00A036A1">
        <w:rPr>
          <w:rFonts w:eastAsia="Times New Roman"/>
          <w:lang w:val="bg" w:eastAsia="zh-CN" w:bidi="ar"/>
        </w:rPr>
        <w:t xml:space="preserve"> постъпили</w:t>
      </w:r>
      <w:r>
        <w:rPr>
          <w:rFonts w:eastAsia="Times New Roman"/>
          <w:lang w:val="bg" w:eastAsia="zh-CN" w:bidi="ar"/>
        </w:rPr>
        <w:t xml:space="preserve"> заявления, </w:t>
      </w:r>
      <w:r w:rsidR="00A036A1">
        <w:rPr>
          <w:rFonts w:eastAsia="Times New Roman"/>
          <w:lang w:val="bg" w:eastAsia="zh-CN" w:bidi="ar"/>
        </w:rPr>
        <w:t>в ДП или ДГС/ДЛС</w:t>
      </w:r>
      <w:r>
        <w:rPr>
          <w:rFonts w:eastAsia="Times New Roman"/>
          <w:lang w:val="bg" w:eastAsia="zh-CN" w:bidi="ar"/>
        </w:rPr>
        <w:t>, се регистрират в деловодния регистър на получателя.</w:t>
      </w:r>
    </w:p>
    <w:p w14:paraId="62ADB3B8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Към заявлението се прилагат следните документи:</w:t>
      </w:r>
    </w:p>
    <w:p w14:paraId="3CD486DD" w14:textId="120745D9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1. </w:t>
      </w:r>
      <w:r w:rsidR="0049365A" w:rsidRPr="00714B92">
        <w:rPr>
          <w:rFonts w:eastAsia="Times New Roman"/>
          <w:lang w:val="bg" w:eastAsia="zh-CN" w:bidi="ar"/>
        </w:rPr>
        <w:t>заверено от заявителя</w:t>
      </w:r>
      <w:r w:rsidR="000102A3"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14:paraId="4046B124" w14:textId="74B09548" w:rsidR="00C7195F" w:rsidRDefault="000102A3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2.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B95869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</w:t>
      </w:r>
      <w:r w:rsidRPr="00714B92">
        <w:rPr>
          <w:rFonts w:eastAsia="Times New Roman"/>
          <w:lang w:val="bg" w:eastAsia="zh-CN" w:bidi="ar"/>
        </w:rPr>
        <w:t xml:space="preserve"> </w:t>
      </w:r>
      <w:r w:rsidR="00C7195F">
        <w:rPr>
          <w:rFonts w:eastAsia="Times New Roman"/>
          <w:lang w:val="bg" w:eastAsia="zh-CN" w:bidi="ar"/>
        </w:rPr>
        <w:t>копие на актуална скица на имота;</w:t>
      </w:r>
    </w:p>
    <w:p w14:paraId="73067848" w14:textId="2A07613A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3. </w:t>
      </w:r>
      <w:r w:rsidR="000102A3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 w:rsidRP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0102A3">
        <w:rPr>
          <w:rFonts w:eastAsia="Times New Roman"/>
          <w:lang w:val="bg" w:eastAsia="zh-CN" w:bidi="ar"/>
        </w:rPr>
        <w:t xml:space="preserve">от заявителя </w:t>
      </w:r>
      <w:r>
        <w:rPr>
          <w:rFonts w:eastAsia="Times New Roman"/>
          <w:lang w:val="bg" w:eastAsia="zh-CN" w:bidi="ar"/>
        </w:rPr>
        <w:t xml:space="preserve">копие на </w:t>
      </w:r>
      <w:r w:rsidR="0049365A" w:rsidRPr="00714B92">
        <w:rPr>
          <w:rFonts w:eastAsia="Times New Roman"/>
          <w:lang w:val="bg" w:eastAsia="zh-CN" w:bidi="ar"/>
        </w:rPr>
        <w:t>актуално</w:t>
      </w:r>
      <w:r w:rsidR="0049365A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удостоверение за наследници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имотът е възстановен на наследниците на починал собственик или при смърт на собственика на имота; </w:t>
      </w:r>
    </w:p>
    <w:p w14:paraId="1A898809" w14:textId="5D828F56" w:rsidR="00C7195F" w:rsidRDefault="00C7195F" w:rsidP="001067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 w:bidi="ar"/>
        </w:rPr>
      </w:pPr>
      <w:r>
        <w:rPr>
          <w:rFonts w:eastAsia="Times New Roman"/>
          <w:lang w:val="bg" w:eastAsia="zh-CN" w:bidi="ar"/>
        </w:rPr>
        <w:t xml:space="preserve">4.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 копие</w:t>
      </w:r>
      <w:r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на нотариално заверено пълномощно от собственик/собственици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заявлението се попълва от името на упълномощено лице от собственика/собствениците</w:t>
      </w:r>
      <w:r w:rsidR="00795747">
        <w:rPr>
          <w:rFonts w:eastAsia="Times New Roman"/>
          <w:lang w:eastAsia="zh-CN" w:bidi="ar"/>
        </w:rPr>
        <w:t>;</w:t>
      </w:r>
    </w:p>
    <w:p w14:paraId="33636F38" w14:textId="6210BDFE" w:rsidR="004D155A" w:rsidRPr="00106709" w:rsidRDefault="00795747" w:rsidP="004D155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795747">
        <w:t xml:space="preserve">заверено с </w:t>
      </w:r>
      <w:r>
        <w:t>„В</w:t>
      </w:r>
      <w:r w:rsidRPr="00795747">
        <w:t>ярно с оригинала</w:t>
      </w:r>
      <w:r>
        <w:t>“</w:t>
      </w:r>
      <w:r w:rsidRPr="00795747">
        <w:t xml:space="preserve"> и печат копие на решение на съответния компетентен орган – в случаите, когато собственик на имота, предложен за продажба, е община </w:t>
      </w:r>
      <w:r w:rsidR="004D155A">
        <w:t>или юридическо лице;</w:t>
      </w:r>
    </w:p>
    <w:p w14:paraId="29347A11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 w:bidi="ar"/>
        </w:rPr>
        <w:t xml:space="preserve">копие на </w:t>
      </w:r>
      <w:r>
        <w:rPr>
          <w:rFonts w:eastAsia="Times New Roman"/>
          <w:lang w:val="bg" w:eastAsia="zh-CN" w:bidi="ar"/>
        </w:rPr>
        <w:t xml:space="preserve">нотариално заверено пълномощно. </w:t>
      </w:r>
    </w:p>
    <w:p w14:paraId="24AE7A90" w14:textId="77777777" w:rsidR="00106709" w:rsidRDefault="008B5EC8" w:rsidP="0010670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lang w:val="bg" w:eastAsia="zh-CN" w:bidi="ar"/>
        </w:rPr>
        <w:t xml:space="preserve">(4) </w:t>
      </w:r>
      <w:r w:rsidR="0006466B">
        <w:rPr>
          <w:rFonts w:eastAsia="Times New Roman"/>
          <w:lang w:val="bg" w:eastAsia="zh-CN" w:bidi="ar"/>
        </w:rPr>
        <w:t>С подаване</w:t>
      </w:r>
      <w:r w:rsidR="00B338C4">
        <w:rPr>
          <w:rFonts w:eastAsia="Times New Roman"/>
          <w:lang w:val="bg" w:eastAsia="zh-CN" w:bidi="ar"/>
        </w:rPr>
        <w:t>то</w:t>
      </w:r>
      <w:r w:rsidR="002472C2">
        <w:rPr>
          <w:rFonts w:eastAsia="Times New Roman"/>
          <w:lang w:val="bg" w:eastAsia="zh-CN" w:bidi="ar"/>
        </w:rPr>
        <w:t xml:space="preserve"> на заявлението з</w:t>
      </w:r>
      <w:r>
        <w:rPr>
          <w:rFonts w:eastAsia="Times New Roman"/>
          <w:lang w:val="bg" w:eastAsia="zh-CN" w:bidi="ar"/>
        </w:rPr>
        <w:t>аявителят декларира, че няма да извършва ползване на дървесина от насажденията в имота</w:t>
      </w:r>
      <w:r w:rsidR="003E3966">
        <w:rPr>
          <w:rFonts w:eastAsia="Times New Roman"/>
          <w:lang w:val="bg" w:eastAsia="zh-CN" w:bidi="ar"/>
        </w:rPr>
        <w:t>/</w:t>
      </w:r>
      <w:r w:rsidR="00861501">
        <w:rPr>
          <w:rFonts w:eastAsia="Times New Roman"/>
          <w:lang w:val="bg" w:eastAsia="zh-CN" w:bidi="ar"/>
        </w:rPr>
        <w:t>имотите</w:t>
      </w:r>
      <w:r>
        <w:rPr>
          <w:rFonts w:eastAsia="Times New Roman"/>
          <w:lang w:val="bg" w:eastAsia="zh-CN" w:bidi="ar"/>
        </w:rPr>
        <w:t xml:space="preserve"> в </w:t>
      </w:r>
      <w:r w:rsidR="00861501" w:rsidRPr="00861501">
        <w:rPr>
          <w:rFonts w:eastAsia="Times New Roman"/>
          <w:lang w:val="bg" w:eastAsia="zh-CN" w:bidi="ar"/>
        </w:rPr>
        <w:t xml:space="preserve">периода от подаване на заявлението до сключване на сделка за покупко-продажба или до </w:t>
      </w:r>
      <w:r w:rsidR="00A13A31">
        <w:rPr>
          <w:rFonts w:eastAsia="Times New Roman"/>
          <w:lang w:val="bg" w:eastAsia="zh-CN" w:bidi="ar"/>
        </w:rPr>
        <w:t xml:space="preserve">публикуването на </w:t>
      </w:r>
      <w:r w:rsidR="005363D0">
        <w:rPr>
          <w:rFonts w:eastAsia="Times New Roman"/>
          <w:lang w:val="bg" w:eastAsia="zh-CN" w:bidi="ar"/>
        </w:rPr>
        <w:t>основания/</w:t>
      </w:r>
      <w:r w:rsidR="00A13A31">
        <w:rPr>
          <w:rFonts w:eastAsia="Times New Roman"/>
          <w:lang w:val="bg" w:eastAsia="zh-CN" w:bidi="ar"/>
        </w:rPr>
        <w:t xml:space="preserve">мотиви за отказ за сключване </w:t>
      </w:r>
      <w:r w:rsidR="00A13A31">
        <w:t>на сделка</w:t>
      </w:r>
      <w:r w:rsidR="004A066F">
        <w:t>.</w:t>
      </w:r>
    </w:p>
    <w:p w14:paraId="5D3BABE0" w14:textId="7B0362A7" w:rsidR="00C7195F" w:rsidRPr="00106709" w:rsidRDefault="005772D8" w:rsidP="00106709">
      <w:pPr>
        <w:widowControl w:val="0"/>
        <w:autoSpaceDE w:val="0"/>
        <w:autoSpaceDN w:val="0"/>
        <w:adjustRightInd w:val="0"/>
        <w:ind w:firstLine="567"/>
        <w:jc w:val="both"/>
      </w:pPr>
      <w:r>
        <w:t>(5)</w:t>
      </w:r>
      <w:r w:rsidR="00C7195F">
        <w:rPr>
          <w:rFonts w:eastAsia="Times New Roman"/>
          <w:b/>
          <w:lang w:val="bg" w:eastAsia="zh-CN" w:bidi="ar"/>
        </w:rPr>
        <w:t xml:space="preserve"> </w:t>
      </w:r>
      <w:r w:rsidR="00A036A1">
        <w:rPr>
          <w:rFonts w:eastAsia="Times New Roman"/>
          <w:lang w:val="bg" w:eastAsia="zh-CN" w:bidi="ar"/>
        </w:rPr>
        <w:t>Образецът на заявление, както и документите по ал. 2, които задължително се прилагат към него, се публикуват</w:t>
      </w:r>
      <w:r w:rsidR="00C7195F">
        <w:rPr>
          <w:rFonts w:eastAsia="Times New Roman"/>
          <w:lang w:val="bg" w:eastAsia="zh-CN" w:bidi="ar"/>
        </w:rPr>
        <w:t xml:space="preserve"> на интернет страницата на съответното ДП.</w:t>
      </w:r>
    </w:p>
    <w:p w14:paraId="553D981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 w:val="bg"/>
        </w:rPr>
      </w:pPr>
    </w:p>
    <w:p w14:paraId="36FFF9BA" w14:textId="77777777" w:rsidR="00C7195F" w:rsidRDefault="00C7195F">
      <w:pPr>
        <w:keepNext/>
        <w:spacing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ІІ.</w:t>
      </w:r>
    </w:p>
    <w:p w14:paraId="151C32D5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 w:val="bg"/>
        </w:rPr>
      </w:pPr>
    </w:p>
    <w:p w14:paraId="75D6DC2F" w14:textId="3EFD1780" w:rsidR="00C7195F" w:rsidRDefault="00C7195F">
      <w:pPr>
        <w:jc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 xml:space="preserve">Процедура за разглеждане на </w:t>
      </w:r>
      <w:r w:rsidR="005772D8">
        <w:rPr>
          <w:rFonts w:eastAsia="Times New Roman"/>
          <w:b/>
          <w:lang w:val="bg" w:eastAsia="zh-CN" w:bidi="ar"/>
        </w:rPr>
        <w:t xml:space="preserve">подадените </w:t>
      </w:r>
      <w:r>
        <w:rPr>
          <w:rFonts w:eastAsia="Times New Roman"/>
          <w:b/>
          <w:lang w:val="bg" w:eastAsia="zh-CN" w:bidi="ar"/>
        </w:rPr>
        <w:t>заявления за продажба</w:t>
      </w:r>
      <w:r w:rsidR="005772D8">
        <w:rPr>
          <w:rFonts w:eastAsia="Times New Roman"/>
          <w:b/>
          <w:lang w:val="bg" w:eastAsia="zh-CN" w:bidi="ar"/>
        </w:rPr>
        <w:t xml:space="preserve"> на </w:t>
      </w:r>
      <w:r>
        <w:rPr>
          <w:rFonts w:eastAsia="Times New Roman"/>
          <w:b/>
          <w:lang w:val="bg" w:eastAsia="zh-CN" w:bidi="ar"/>
        </w:rPr>
        <w:t>поземлени имоти в горски територии</w:t>
      </w:r>
    </w:p>
    <w:p w14:paraId="4EC9E9DD" w14:textId="77777777" w:rsidR="00C7195F" w:rsidRDefault="00C7195F">
      <w:pPr>
        <w:jc w:val="center"/>
        <w:rPr>
          <w:b/>
          <w:sz w:val="16"/>
          <w:szCs w:val="16"/>
          <w:lang w:val="bg"/>
        </w:rPr>
      </w:pPr>
    </w:p>
    <w:p w14:paraId="331DA79E" w14:textId="3F24B804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5772D8">
        <w:rPr>
          <w:rFonts w:eastAsia="Times New Roman"/>
          <w:b/>
          <w:lang w:val="bg" w:eastAsia="zh-CN" w:bidi="ar"/>
        </w:rPr>
        <w:t>8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Разглеждането</w:t>
      </w:r>
      <w:r w:rsidRPr="00DF3014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на постъпилите заявления </w:t>
      </w:r>
      <w:r w:rsidR="005772D8">
        <w:rPr>
          <w:rFonts w:eastAsia="Times New Roman"/>
          <w:lang w:val="bg" w:eastAsia="zh-CN" w:bidi="ar"/>
        </w:rPr>
        <w:t xml:space="preserve">и приложените към тях </w:t>
      </w:r>
      <w:r>
        <w:rPr>
          <w:rFonts w:eastAsia="Times New Roman"/>
          <w:lang w:val="bg" w:eastAsia="zh-CN" w:bidi="ar"/>
        </w:rPr>
        <w:t xml:space="preserve">документи, се извършва </w:t>
      </w:r>
      <w:r w:rsidR="00FC7E33">
        <w:rPr>
          <w:rFonts w:eastAsia="Times New Roman"/>
          <w:lang w:val="bg" w:eastAsia="zh-CN" w:bidi="ar"/>
        </w:rPr>
        <w:t xml:space="preserve">в месеца след приключване на всяко тримесечие (първо, второ, трето и четвърто) </w:t>
      </w:r>
      <w:r>
        <w:rPr>
          <w:rFonts w:eastAsia="Times New Roman"/>
          <w:lang w:val="bg" w:eastAsia="zh-CN" w:bidi="ar"/>
        </w:rPr>
        <w:t>от комисия, определена със заповед на директора на ДП.</w:t>
      </w:r>
    </w:p>
    <w:p w14:paraId="0C615C8E" w14:textId="6563D8DB" w:rsidR="00A036A1" w:rsidRPr="00FC7E33" w:rsidRDefault="00C7195F" w:rsidP="00FC7E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(2) Работата на комисията протича при спазване на сроковете на отделните стъпки на процедурата, посочени в </w:t>
      </w:r>
      <w:r w:rsidRPr="00A937C9">
        <w:rPr>
          <w:rFonts w:eastAsia="Times New Roman"/>
          <w:i/>
          <w:iCs/>
          <w:lang w:val="bg" w:eastAsia="zh-CN" w:bidi="ar"/>
        </w:rPr>
        <w:t xml:space="preserve">Приложение № </w:t>
      </w:r>
      <w:r w:rsidR="00A036A1" w:rsidRPr="00A937C9">
        <w:rPr>
          <w:rFonts w:eastAsia="Times New Roman"/>
          <w:i/>
          <w:iCs/>
          <w:lang w:val="bg" w:eastAsia="zh-CN" w:bidi="ar"/>
        </w:rPr>
        <w:t>2</w:t>
      </w:r>
      <w:r>
        <w:rPr>
          <w:rFonts w:eastAsia="Times New Roman"/>
          <w:lang w:val="bg" w:eastAsia="zh-CN" w:bidi="ar"/>
        </w:rPr>
        <w:t>.</w:t>
      </w:r>
    </w:p>
    <w:p w14:paraId="6DF4A239" w14:textId="1D921163" w:rsidR="00956E88" w:rsidRDefault="00C7195F" w:rsidP="00956E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5772D8">
        <w:rPr>
          <w:rFonts w:eastAsia="Times New Roman"/>
          <w:b/>
          <w:lang w:val="bg" w:eastAsia="zh-CN" w:bidi="ar"/>
        </w:rPr>
        <w:t>9</w:t>
      </w:r>
      <w:r>
        <w:rPr>
          <w:rFonts w:eastAsia="Times New Roman"/>
          <w:b/>
          <w:lang w:val="bg" w:eastAsia="zh-CN" w:bidi="ar"/>
        </w:rPr>
        <w:t xml:space="preserve">. </w:t>
      </w:r>
      <w:r>
        <w:rPr>
          <w:rFonts w:eastAsia="Times New Roman"/>
          <w:lang w:val="bg" w:eastAsia="zh-CN" w:bidi="ar"/>
        </w:rPr>
        <w:t xml:space="preserve">(1) </w:t>
      </w:r>
      <w:r w:rsidR="00923EFF">
        <w:rPr>
          <w:rFonts w:eastAsia="Times New Roman"/>
          <w:lang w:val="bg" w:eastAsia="zh-CN" w:bidi="ar"/>
        </w:rPr>
        <w:t>К</w:t>
      </w:r>
      <w:r>
        <w:rPr>
          <w:rFonts w:eastAsia="Times New Roman"/>
          <w:lang w:val="bg" w:eastAsia="zh-CN" w:bidi="ar"/>
        </w:rPr>
        <w:t xml:space="preserve">омисията по чл. </w:t>
      </w:r>
      <w:r w:rsidR="005772D8">
        <w:rPr>
          <w:rFonts w:eastAsia="Times New Roman"/>
          <w:lang w:val="bg" w:eastAsia="zh-CN" w:bidi="ar"/>
        </w:rPr>
        <w:t>8</w:t>
      </w:r>
      <w:r w:rsidR="00FC7E33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разглежда всички постъпили в срок заявления за съответствие на имотите с изискванията на чл. </w:t>
      </w:r>
      <w:r w:rsidR="005363D0">
        <w:rPr>
          <w:rFonts w:eastAsia="Times New Roman"/>
          <w:lang w:val="bg" w:eastAsia="zh-CN" w:bidi="ar"/>
        </w:rPr>
        <w:t>4</w:t>
      </w:r>
      <w:r w:rsidR="00FC7E33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и на приложените документи с изискванията на чл. </w:t>
      </w:r>
      <w:r w:rsidR="00FC7E33">
        <w:rPr>
          <w:rFonts w:eastAsia="Times New Roman"/>
          <w:lang w:val="bg" w:eastAsia="zh-CN" w:bidi="ar"/>
        </w:rPr>
        <w:t>7</w:t>
      </w:r>
      <w:r>
        <w:rPr>
          <w:rFonts w:eastAsia="Times New Roman"/>
          <w:lang w:val="bg" w:eastAsia="zh-CN" w:bidi="ar"/>
        </w:rPr>
        <w:t>.</w:t>
      </w:r>
      <w:r w:rsidR="00956E88" w:rsidRPr="00956E88">
        <w:rPr>
          <w:rFonts w:eastAsia="Times New Roman"/>
          <w:bCs/>
          <w:lang w:val="bg" w:eastAsia="zh-CN" w:bidi="ar"/>
        </w:rPr>
        <w:t xml:space="preserve"> </w:t>
      </w:r>
    </w:p>
    <w:p w14:paraId="479E299D" w14:textId="6EDB9DE7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</w:t>
      </w:r>
      <w:r w:rsidR="00FC7E33">
        <w:rPr>
          <w:rFonts w:eastAsia="Times New Roman"/>
          <w:lang w:val="bg" w:eastAsia="zh-CN" w:bidi="ar"/>
        </w:rPr>
        <w:t>2</w:t>
      </w:r>
      <w:r>
        <w:rPr>
          <w:rFonts w:eastAsia="Times New Roman"/>
          <w:lang w:val="bg" w:eastAsia="zh-CN" w:bidi="ar"/>
        </w:rPr>
        <w:t xml:space="preserve">) Имоти, които не отговарят на изискванията на чл. </w:t>
      </w:r>
      <w:r w:rsidR="00795747">
        <w:rPr>
          <w:rFonts w:eastAsia="Times New Roman"/>
          <w:lang w:val="bg" w:eastAsia="zh-CN" w:bidi="ar"/>
        </w:rPr>
        <w:t>4</w:t>
      </w:r>
      <w:r w:rsidR="00FC7E33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и за които не са представени документите по чл. </w:t>
      </w:r>
      <w:r w:rsidR="00FC7E33">
        <w:rPr>
          <w:rFonts w:eastAsia="Times New Roman"/>
          <w:lang w:val="bg" w:eastAsia="zh-CN" w:bidi="ar"/>
        </w:rPr>
        <w:t>7</w:t>
      </w:r>
      <w:r>
        <w:rPr>
          <w:rFonts w:eastAsia="Times New Roman"/>
          <w:lang w:val="bg" w:eastAsia="zh-CN" w:bidi="ar"/>
        </w:rPr>
        <w:t>,</w:t>
      </w:r>
      <w:r w:rsidR="00795747">
        <w:rPr>
          <w:rFonts w:eastAsia="Times New Roman"/>
          <w:lang w:val="bg" w:eastAsia="zh-CN" w:bidi="ar"/>
        </w:rPr>
        <w:t xml:space="preserve"> ал. 2</w:t>
      </w:r>
      <w:r>
        <w:rPr>
          <w:rFonts w:eastAsia="Times New Roman"/>
          <w:lang w:val="bg" w:eastAsia="zh-CN" w:bidi="ar"/>
        </w:rPr>
        <w:t xml:space="preserve"> или представените документи са непълни или нередовни</w:t>
      </w:r>
      <w:r>
        <w:rPr>
          <w:rFonts w:eastAsia="Times New Roman"/>
          <w:i/>
          <w:iCs/>
          <w:lang w:val="bg" w:eastAsia="zh-CN" w:bidi="ar"/>
        </w:rPr>
        <w:t>,</w:t>
      </w:r>
      <w:r>
        <w:rPr>
          <w:rFonts w:eastAsia="Times New Roman"/>
          <w:lang w:val="bg" w:eastAsia="zh-CN" w:bidi="ar"/>
        </w:rPr>
        <w:t xml:space="preserve"> не се </w:t>
      </w:r>
      <w:r w:rsidR="005363D0">
        <w:rPr>
          <w:rFonts w:eastAsia="Times New Roman"/>
          <w:lang w:val="bg" w:eastAsia="zh-CN" w:bidi="ar"/>
        </w:rPr>
        <w:t>допускат до по-нататъшно процедиране</w:t>
      </w:r>
      <w:r>
        <w:rPr>
          <w:rFonts w:eastAsia="Times New Roman"/>
          <w:lang w:val="bg" w:eastAsia="zh-CN" w:bidi="ar"/>
        </w:rPr>
        <w:t xml:space="preserve">. </w:t>
      </w:r>
    </w:p>
    <w:p w14:paraId="19AF3D7C" w14:textId="749A19D8" w:rsidR="00C7195F" w:rsidRDefault="004E1FBF" w:rsidP="00C87300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bg"/>
        </w:rPr>
      </w:pPr>
      <w:r>
        <w:rPr>
          <w:rFonts w:eastAsia="Times New Roman"/>
          <w:lang w:val="bg" w:eastAsia="zh-CN" w:bidi="ar"/>
        </w:rPr>
        <w:t>(</w:t>
      </w:r>
      <w:r w:rsidR="00C510B1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 xml:space="preserve">) </w:t>
      </w:r>
      <w:r w:rsidR="00C7195F">
        <w:rPr>
          <w:rFonts w:eastAsia="Times New Roman"/>
          <w:lang w:val="bg" w:eastAsia="zh-CN" w:bidi="ar"/>
        </w:rPr>
        <w:t>За всеки имот комисията изисква по служебен път от съответното държавно горско или държавно ловно стопанство таксационните описания на подотделите, включени в имота.</w:t>
      </w:r>
      <w:r w:rsidRPr="004E1FBF">
        <w:rPr>
          <w:bCs/>
          <w:lang w:val="bg"/>
        </w:rPr>
        <w:t xml:space="preserve"> </w:t>
      </w:r>
    </w:p>
    <w:p w14:paraId="2A8ACE45" w14:textId="614B8CF0" w:rsidR="00C11F9B" w:rsidRDefault="00C510B1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bCs/>
          <w:lang w:val="bg"/>
        </w:rPr>
        <w:lastRenderedPageBreak/>
        <w:t>(4</w:t>
      </w:r>
      <w:r w:rsidR="00C11F9B">
        <w:rPr>
          <w:bCs/>
          <w:lang w:val="bg"/>
        </w:rPr>
        <w:t>) Проверката на обстоятелствата по отношение на това дали имота е бил предмет на замяна се установява след проверка в регистрите на Изпълнителна агенция по горите.</w:t>
      </w:r>
    </w:p>
    <w:p w14:paraId="6B271314" w14:textId="363D0FD8" w:rsidR="007B1E4B" w:rsidRDefault="00C7195F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 w:rsidR="005363D0">
        <w:rPr>
          <w:rFonts w:eastAsia="Times New Roman"/>
          <w:b/>
          <w:lang w:val="bg" w:eastAsia="zh-CN" w:bidi="ar"/>
        </w:rPr>
        <w:t>0</w:t>
      </w:r>
      <w:r w:rsidR="007B1E4B">
        <w:rPr>
          <w:rFonts w:eastAsia="Times New Roman"/>
          <w:b/>
          <w:lang w:val="bg" w:eastAsia="zh-CN" w:bidi="ar"/>
        </w:rPr>
        <w:t>.</w:t>
      </w:r>
      <w:r w:rsidR="007B1E4B">
        <w:rPr>
          <w:rFonts w:eastAsia="Times New Roman"/>
          <w:lang w:val="bg" w:eastAsia="zh-CN" w:bidi="ar"/>
        </w:rPr>
        <w:t xml:space="preserve"> (1) За работата на комисията се изготвя протокол.</w:t>
      </w:r>
    </w:p>
    <w:p w14:paraId="5513C9B2" w14:textId="6DFA0309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В срок до 3 работни дни от съставянето на протокола по ал. 1 на интернет страницата на ДП се публикуват в табличен вид списъци на:</w:t>
      </w:r>
    </w:p>
    <w:p w14:paraId="732D8D00" w14:textId="57CC4AA7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1. допуснатите имоти с информация, която ги идентифицира, както и номера на заявлението от деловодния регистър;</w:t>
      </w:r>
    </w:p>
    <w:p w14:paraId="358722F3" w14:textId="77777777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14:paraId="27F422DE" w14:textId="0CDDF7E7" w:rsidR="00FC7E33" w:rsidRDefault="007B1E4B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lang w:val="bg" w:eastAsia="zh-CN" w:bidi="ar"/>
        </w:rPr>
      </w:pPr>
      <w:r w:rsidRPr="007B1E4B">
        <w:rPr>
          <w:rFonts w:eastAsia="Times New Roman"/>
          <w:bCs/>
          <w:lang w:val="bg" w:eastAsia="zh-CN" w:bidi="ar"/>
        </w:rPr>
        <w:t>(3) С публикуването на информацията по ал. 2 се приема, че</w:t>
      </w:r>
      <w:r>
        <w:rPr>
          <w:rFonts w:eastAsia="Times New Roman"/>
          <w:lang w:val="bg" w:eastAsia="zh-CN" w:bidi="ar"/>
        </w:rPr>
        <w:t xml:space="preserve"> собствениците или оправомощените от тях лица са публично уведомени</w:t>
      </w:r>
      <w:r w:rsidR="005363D0">
        <w:rPr>
          <w:rFonts w:eastAsia="Times New Roman"/>
          <w:lang w:val="bg" w:eastAsia="zh-CN" w:bidi="ar"/>
        </w:rPr>
        <w:t>.</w:t>
      </w:r>
    </w:p>
    <w:p w14:paraId="410DD085" w14:textId="54984653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 w:rsidR="005363D0">
        <w:rPr>
          <w:rFonts w:eastAsia="Times New Roman"/>
          <w:b/>
          <w:lang w:val="bg" w:eastAsia="zh-CN" w:bidi="ar"/>
        </w:rPr>
        <w:t>1</w:t>
      </w:r>
      <w:r>
        <w:rPr>
          <w:rFonts w:eastAsia="Times New Roman"/>
          <w:b/>
          <w:lang w:val="bg" w:eastAsia="zh-CN" w:bidi="ar"/>
        </w:rPr>
        <w:t xml:space="preserve">. </w:t>
      </w:r>
      <w:r>
        <w:rPr>
          <w:rFonts w:eastAsia="Times New Roman"/>
          <w:lang w:val="bg" w:eastAsia="zh-CN" w:bidi="ar"/>
        </w:rPr>
        <w:t>(1) ДП възлага на правоспособни оценители, регистрирани по Закона за независимите оценители, да изготвят оценки на всички допуснати поземлени имоти в горски територии</w:t>
      </w:r>
      <w:r w:rsidR="00795747">
        <w:rPr>
          <w:rFonts w:eastAsia="Times New Roman"/>
          <w:lang w:val="bg" w:eastAsia="zh-CN" w:bidi="ar"/>
        </w:rPr>
        <w:t xml:space="preserve"> по реда на тяхното постъпване и регистриране</w:t>
      </w:r>
      <w:r w:rsidR="00C510B1" w:rsidRPr="00C510B1">
        <w:t xml:space="preserve"> </w:t>
      </w:r>
      <w:r w:rsidR="00C510B1" w:rsidRPr="00C510B1">
        <w:rPr>
          <w:rFonts w:eastAsia="Times New Roman"/>
          <w:lang w:val="bg" w:eastAsia="zh-CN" w:bidi="ar"/>
        </w:rPr>
        <w:t>в деловодния регистър на получателя</w:t>
      </w:r>
      <w:r>
        <w:rPr>
          <w:rFonts w:eastAsia="Times New Roman"/>
          <w:lang w:val="bg" w:eastAsia="zh-CN" w:bidi="ar"/>
        </w:rPr>
        <w:t>.</w:t>
      </w:r>
    </w:p>
    <w:p w14:paraId="21F1A75F" w14:textId="0FBB8663" w:rsidR="007B1E4B" w:rsidRDefault="007B1E4B" w:rsidP="00A937C9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B74B3A">
        <w:rPr>
          <w:rFonts w:eastAsia="Times New Roman"/>
          <w:lang w:val="bg" w:eastAsia="zh-CN" w:bidi="ar"/>
        </w:rPr>
        <w:t>(</w:t>
      </w:r>
      <w:r>
        <w:rPr>
          <w:rFonts w:eastAsia="Times New Roman"/>
          <w:lang w:val="bg" w:eastAsia="zh-CN" w:bidi="ar"/>
        </w:rPr>
        <w:t>2</w:t>
      </w:r>
      <w:r w:rsidRPr="00B74B3A">
        <w:rPr>
          <w:rFonts w:eastAsia="Times New Roman"/>
          <w:lang w:val="bg" w:eastAsia="zh-CN" w:bidi="ar"/>
        </w:rPr>
        <w:t xml:space="preserve">) Оценките по ал. 1 се изготвят по реда на чл. 23, ал. 2 от </w:t>
      </w:r>
      <w:r w:rsidRPr="00B74B3A">
        <w:rPr>
          <w:rFonts w:eastAsia="Times New Roman"/>
          <w:bCs/>
          <w:lang w:val="bg" w:eastAsia="zh-CN" w:bidi="ar"/>
        </w:rPr>
        <w:t>Наредбата за оценка на поземлени имоти в горски територии</w:t>
      </w:r>
      <w:r w:rsidRPr="00B74B3A">
        <w:rPr>
          <w:rFonts w:eastAsia="Times New Roman"/>
          <w:b/>
          <w:bCs/>
          <w:lang w:val="bg" w:eastAsia="zh-CN" w:bidi="ar"/>
        </w:rPr>
        <w:t xml:space="preserve"> </w:t>
      </w:r>
      <w:r w:rsidRPr="00B74B3A">
        <w:rPr>
          <w:rFonts w:eastAsia="Times New Roman"/>
          <w:bCs/>
          <w:lang w:val="bg" w:eastAsia="zh-CN" w:bidi="ar"/>
        </w:rPr>
        <w:t>(о</w:t>
      </w:r>
      <w:r w:rsidRPr="00B74B3A">
        <w:rPr>
          <w:rFonts w:eastAsia="Times New Roman"/>
          <w:lang w:val="bg" w:eastAsia="zh-CN" w:bidi="ar"/>
        </w:rPr>
        <w:t>бн. ДВ, бр. 63 от 2011 г.)</w:t>
      </w:r>
      <w:r>
        <w:rPr>
          <w:rFonts w:eastAsia="Times New Roman"/>
          <w:lang w:val="bg" w:eastAsia="zh-CN" w:bidi="ar"/>
        </w:rPr>
        <w:t xml:space="preserve"> в срок </w:t>
      </w:r>
      <w:r w:rsidR="00343E6B">
        <w:rPr>
          <w:rFonts w:eastAsia="Times New Roman"/>
          <w:lang w:val="bg" w:eastAsia="zh-CN" w:bidi="ar"/>
        </w:rPr>
        <w:t>до</w:t>
      </w:r>
      <w:r>
        <w:rPr>
          <w:rFonts w:eastAsia="Times New Roman"/>
          <w:lang w:val="bg" w:eastAsia="zh-CN" w:bidi="ar"/>
        </w:rPr>
        <w:t xml:space="preserve"> </w:t>
      </w:r>
      <w:r w:rsidR="00A937C9">
        <w:rPr>
          <w:rFonts w:eastAsia="Times New Roman"/>
          <w:lang w:val="bg" w:eastAsia="zh-CN" w:bidi="ar"/>
        </w:rPr>
        <w:t>1</w:t>
      </w:r>
      <w:r>
        <w:rPr>
          <w:rFonts w:eastAsia="Times New Roman"/>
          <w:lang w:val="bg" w:eastAsia="zh-CN" w:bidi="ar"/>
        </w:rPr>
        <w:t xml:space="preserve"> месец</w:t>
      </w:r>
      <w:r w:rsidR="00A937C9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от публикуването на </w:t>
      </w:r>
      <w:r w:rsidR="00343E6B">
        <w:rPr>
          <w:rFonts w:eastAsia="Times New Roman"/>
          <w:lang w:val="bg" w:eastAsia="zh-CN" w:bidi="ar"/>
        </w:rPr>
        <w:t>списъците по чл. 11</w:t>
      </w:r>
      <w:r>
        <w:rPr>
          <w:rFonts w:eastAsia="Times New Roman"/>
          <w:lang w:val="bg" w:eastAsia="zh-CN" w:bidi="ar"/>
        </w:rPr>
        <w:t xml:space="preserve"> след задължителен оглед на поземления имот. Това изискване се посочва в договора за възлагане на оценката. </w:t>
      </w:r>
    </w:p>
    <w:p w14:paraId="4EAE9B70" w14:textId="39681D22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</w:t>
      </w:r>
      <w:r w:rsidR="00664BDE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 xml:space="preserve">) Разходите за изготвянето на оценките са за сметка на възложителя. </w:t>
      </w:r>
    </w:p>
    <w:p w14:paraId="1B8DECCF" w14:textId="62CB8F15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343E6B">
        <w:rPr>
          <w:rFonts w:eastAsia="Times New Roman"/>
          <w:b/>
          <w:lang w:val="bg" w:eastAsia="zh-CN" w:bidi="ar"/>
        </w:rPr>
        <w:t>1</w:t>
      </w:r>
      <w:r w:rsidR="00923EFF">
        <w:rPr>
          <w:rFonts w:eastAsia="Times New Roman"/>
          <w:b/>
          <w:lang w:val="bg" w:eastAsia="zh-CN" w:bidi="ar"/>
        </w:rPr>
        <w:t>2</w:t>
      </w:r>
      <w:r w:rsidR="00343E6B"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Преди приемане на оценките по чл. 1</w:t>
      </w:r>
      <w:r w:rsidR="00923EFF">
        <w:rPr>
          <w:rFonts w:eastAsia="Times New Roman"/>
          <w:lang w:val="bg" w:eastAsia="zh-CN" w:bidi="ar"/>
        </w:rPr>
        <w:t>1</w:t>
      </w:r>
      <w:r>
        <w:rPr>
          <w:rFonts w:eastAsia="Times New Roman"/>
          <w:lang w:val="bg" w:eastAsia="zh-CN" w:bidi="ar"/>
        </w:rPr>
        <w:t xml:space="preserve"> представители на ДП или на съответното ДГС/ДЛС извършват теренна проверка на имотите за установяване на съответствие с описанието на имотите. </w:t>
      </w:r>
    </w:p>
    <w:p w14:paraId="6DCBCA3C" w14:textId="2CE3A187" w:rsidR="00923EFF" w:rsidRPr="00923EFF" w:rsidRDefault="000D2DB8" w:rsidP="00923EF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1</w:t>
      </w:r>
      <w:r w:rsidR="00923EFF">
        <w:rPr>
          <w:rFonts w:eastAsia="Times New Roman"/>
          <w:b/>
          <w:lang w:val="bg" w:eastAsia="zh-CN" w:bidi="ar"/>
        </w:rPr>
        <w:t>3</w:t>
      </w:r>
      <w:r w:rsidR="00C7195F"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b/>
          <w:lang w:val="bg" w:eastAsia="zh-CN" w:bidi="ar"/>
        </w:rPr>
        <w:t xml:space="preserve"> </w:t>
      </w:r>
      <w:r w:rsidR="00923EFF" w:rsidRPr="00923EFF">
        <w:rPr>
          <w:rFonts w:eastAsia="Times New Roman"/>
          <w:lang w:val="bg" w:eastAsia="zh-CN" w:bidi="ar"/>
        </w:rPr>
        <w:t xml:space="preserve">В 5-дневен срок след приемането на оценките по </w:t>
      </w:r>
      <w:r w:rsidR="00923EFF">
        <w:rPr>
          <w:rFonts w:eastAsia="Times New Roman"/>
          <w:lang w:val="bg" w:eastAsia="zh-CN" w:bidi="ar"/>
        </w:rPr>
        <w:t>чл</w:t>
      </w:r>
      <w:r w:rsidR="00923EFF" w:rsidRPr="00923EFF">
        <w:rPr>
          <w:rFonts w:eastAsia="Times New Roman"/>
          <w:lang w:val="bg" w:eastAsia="zh-CN" w:bidi="ar"/>
        </w:rPr>
        <w:t>. 1</w:t>
      </w:r>
      <w:r w:rsidR="00923EFF">
        <w:rPr>
          <w:rFonts w:eastAsia="Times New Roman"/>
          <w:lang w:val="bg" w:eastAsia="zh-CN" w:bidi="ar"/>
        </w:rPr>
        <w:t>1</w:t>
      </w:r>
      <w:r w:rsidR="00923EFF" w:rsidRPr="00923EFF">
        <w:rPr>
          <w:rFonts w:eastAsia="Times New Roman"/>
          <w:lang w:val="bg" w:eastAsia="zh-CN" w:bidi="ar"/>
        </w:rPr>
        <w:t xml:space="preserve"> на интернет страницата на съответното ДП се публикува информация в табличен вид за стойността на оценените поземлени имоти, съгласно оценката на правоспособния оценител, с идентифициращи ги данни, включително и номера на заявлението от деловодния регистър.</w:t>
      </w:r>
    </w:p>
    <w:p w14:paraId="190B1EC5" w14:textId="7704F6CC" w:rsidR="00923EFF" w:rsidRPr="00795747" w:rsidRDefault="00923EFF" w:rsidP="00923EF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1</w:t>
      </w:r>
      <w:r w:rsidR="005D5634">
        <w:rPr>
          <w:rFonts w:eastAsia="Times New Roman"/>
          <w:b/>
          <w:lang w:val="bg" w:eastAsia="zh-CN" w:bidi="ar"/>
        </w:rPr>
        <w:t>4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</w:t>
      </w:r>
      <w:r w:rsidRPr="00795747">
        <w:rPr>
          <w:rFonts w:eastAsia="Times New Roman"/>
          <w:lang w:val="bg" w:eastAsia="zh-CN" w:bidi="ar"/>
        </w:rPr>
        <w:t xml:space="preserve">(1) Заявителите на оценените поземлени имоти в горски територии се уведомяват с писмо с обратна разписка или по електронна поща, в зависимост от заявения начин на уведомяване, за стойността на изготвената от независимия оценител оценка на имота/и и се поканват за сключване на договор за покупко-продажба на цената, определена с оценката. </w:t>
      </w:r>
    </w:p>
    <w:p w14:paraId="5AA83465" w14:textId="1D6D4954" w:rsidR="00923EFF" w:rsidRPr="00C738DA" w:rsidRDefault="00923EFF" w:rsidP="00923E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738DA">
        <w:rPr>
          <w:rFonts w:ascii="Times New Roman" w:eastAsia="Times New Roman" w:hAnsi="Times New Roman"/>
          <w:lang w:val="bg" w:bidi="ar"/>
        </w:rPr>
        <w:t xml:space="preserve">(2) </w:t>
      </w:r>
      <w:r w:rsidR="0009468F">
        <w:rPr>
          <w:rFonts w:ascii="Times New Roman" w:eastAsia="Times New Roman" w:hAnsi="Times New Roman"/>
          <w:lang w:val="bg" w:bidi="ar"/>
        </w:rPr>
        <w:t xml:space="preserve">Липсата на отговор до </w:t>
      </w:r>
      <w:r w:rsidR="0009468F" w:rsidRPr="00C738DA">
        <w:rPr>
          <w:rFonts w:ascii="Times New Roman" w:eastAsia="Times New Roman" w:hAnsi="Times New Roman"/>
          <w:lang w:val="bg" w:bidi="ar"/>
        </w:rPr>
        <w:t>съответното ДП в 14-дневен срок от датата на получаване на поканата по ал. 1</w:t>
      </w:r>
      <w:r w:rsidR="0009468F">
        <w:rPr>
          <w:rFonts w:ascii="Times New Roman" w:eastAsia="Times New Roman" w:hAnsi="Times New Roman"/>
          <w:lang w:val="bg" w:bidi="ar"/>
        </w:rPr>
        <w:t xml:space="preserve"> се счита за отказ от сделката за покупко-продажба на поземления/те имот/и</w:t>
      </w:r>
      <w:r w:rsidRPr="00C738DA">
        <w:rPr>
          <w:rFonts w:ascii="Times New Roman" w:eastAsia="Times New Roman" w:hAnsi="Times New Roman"/>
          <w:lang w:val="bg" w:bidi="ar"/>
        </w:rPr>
        <w:t xml:space="preserve">. </w:t>
      </w:r>
    </w:p>
    <w:p w14:paraId="01EEF5D0" w14:textId="4FAEF849" w:rsidR="00923EFF" w:rsidRDefault="00923EFF" w:rsidP="00923E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C7B31">
        <w:rPr>
          <w:rFonts w:ascii="Times New Roman" w:eastAsia="Times New Roman" w:hAnsi="Times New Roman"/>
          <w:lang w:val="bg" w:bidi="ar"/>
        </w:rPr>
        <w:t xml:space="preserve">(3) В случай че </w:t>
      </w:r>
      <w:r w:rsidR="00794537">
        <w:rPr>
          <w:rFonts w:ascii="Times New Roman" w:eastAsia="Times New Roman" w:hAnsi="Times New Roman"/>
          <w:lang w:val="bg" w:bidi="ar"/>
        </w:rPr>
        <w:t>купувачът</w:t>
      </w:r>
      <w:r w:rsidRPr="00CC7B31">
        <w:rPr>
          <w:rFonts w:ascii="Times New Roman" w:eastAsia="Times New Roman" w:hAnsi="Times New Roman"/>
          <w:lang w:val="bg" w:bidi="ar"/>
        </w:rPr>
        <w:t xml:space="preserve"> установи, че в периода </w:t>
      </w:r>
      <w:bookmarkStart w:id="2" w:name="_Hlk135962609"/>
      <w:r w:rsidRPr="00CC7B31">
        <w:rPr>
          <w:rFonts w:ascii="Times New Roman" w:eastAsia="Times New Roman" w:hAnsi="Times New Roman"/>
          <w:lang w:val="bg" w:bidi="ar"/>
        </w:rPr>
        <w:t xml:space="preserve">след извършване на </w:t>
      </w:r>
      <w:r w:rsidR="005D5634">
        <w:rPr>
          <w:rFonts w:ascii="Times New Roman" w:eastAsia="Times New Roman" w:hAnsi="Times New Roman"/>
          <w:lang w:val="bg" w:bidi="ar"/>
        </w:rPr>
        <w:t>теренната проверка п</w:t>
      </w:r>
      <w:r w:rsidRPr="00CC7B31">
        <w:rPr>
          <w:rFonts w:ascii="Times New Roman" w:eastAsia="Times New Roman" w:hAnsi="Times New Roman"/>
          <w:lang w:val="bg" w:bidi="ar"/>
        </w:rPr>
        <w:t>о чл. 1</w:t>
      </w:r>
      <w:r w:rsidR="005D5634">
        <w:rPr>
          <w:rFonts w:ascii="Times New Roman" w:eastAsia="Times New Roman" w:hAnsi="Times New Roman"/>
          <w:lang w:val="bg" w:bidi="ar"/>
        </w:rPr>
        <w:t>2</w:t>
      </w:r>
      <w:r w:rsidRPr="00CC7B31">
        <w:rPr>
          <w:rFonts w:ascii="Times New Roman" w:eastAsia="Times New Roman" w:hAnsi="Times New Roman"/>
          <w:lang w:val="bg" w:bidi="ar"/>
        </w:rPr>
        <w:t xml:space="preserve"> </w:t>
      </w:r>
      <w:r w:rsidR="005D5634">
        <w:rPr>
          <w:rFonts w:ascii="Times New Roman" w:eastAsia="Times New Roman" w:hAnsi="Times New Roman"/>
          <w:lang w:val="bg" w:bidi="ar"/>
        </w:rPr>
        <w:t>до сключването на сделка за покупко-продажба на имота</w:t>
      </w:r>
      <w:bookmarkEnd w:id="2"/>
      <w:r w:rsidR="005D5634">
        <w:rPr>
          <w:rFonts w:ascii="Times New Roman" w:eastAsia="Times New Roman" w:hAnsi="Times New Roman"/>
          <w:lang w:val="bg" w:bidi="ar"/>
        </w:rPr>
        <w:t xml:space="preserve"> </w:t>
      </w:r>
      <w:r w:rsidRPr="00CC7B31">
        <w:rPr>
          <w:rFonts w:ascii="Times New Roman" w:eastAsia="Times New Roman" w:hAnsi="Times New Roman"/>
          <w:lang w:val="bg" w:bidi="ar"/>
        </w:rPr>
        <w:t xml:space="preserve">има издадено позволително за сеч за имота и е извършено ползване на дървесина в него, ДП има право да откаже да го закупи, за което уведомява писмено заявителя. </w:t>
      </w:r>
    </w:p>
    <w:p w14:paraId="2D1CBB46" w14:textId="695A0DE6" w:rsidR="00C510B1" w:rsidRPr="00C510B1" w:rsidRDefault="00C510B1" w:rsidP="00C510B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510B1">
        <w:rPr>
          <w:rFonts w:ascii="Times New Roman" w:eastAsia="Times New Roman" w:hAnsi="Times New Roman"/>
          <w:b/>
          <w:lang w:val="bg" w:bidi="ar"/>
        </w:rPr>
        <w:t>Чл. 15.</w:t>
      </w:r>
      <w:r>
        <w:rPr>
          <w:rFonts w:ascii="Times New Roman" w:eastAsia="Times New Roman" w:hAnsi="Times New Roman"/>
          <w:lang w:val="bg" w:bidi="ar"/>
        </w:rPr>
        <w:t xml:space="preserve"> (1) </w:t>
      </w:r>
      <w:r w:rsidRPr="00C510B1">
        <w:rPr>
          <w:rFonts w:ascii="Times New Roman" w:eastAsia="Times New Roman" w:hAnsi="Times New Roman"/>
          <w:lang w:val="bg" w:bidi="ar"/>
        </w:rPr>
        <w:t>С предимство се купуват имоти, граничещи с горски територии - държавна собственост, със защитни и специални функции съгласно чл. 5, ал. 2 от Закона за горите, както и имоти, собственост на физически лица.</w:t>
      </w:r>
    </w:p>
    <w:p w14:paraId="722817DA" w14:textId="0F879B55" w:rsidR="00C510B1" w:rsidRDefault="00C510B1" w:rsidP="00C510B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510B1">
        <w:rPr>
          <w:rFonts w:ascii="Times New Roman" w:eastAsia="Times New Roman" w:hAnsi="Times New Roman"/>
          <w:lang w:val="bg" w:bidi="ar"/>
        </w:rPr>
        <w:t>(</w:t>
      </w:r>
      <w:r>
        <w:rPr>
          <w:rFonts w:ascii="Times New Roman" w:eastAsia="Times New Roman" w:hAnsi="Times New Roman"/>
          <w:lang w:val="bg" w:bidi="ar"/>
        </w:rPr>
        <w:t>2</w:t>
      </w:r>
      <w:r w:rsidRPr="00C510B1">
        <w:rPr>
          <w:rFonts w:ascii="Times New Roman" w:eastAsia="Times New Roman" w:hAnsi="Times New Roman"/>
          <w:lang w:val="bg" w:bidi="ar"/>
        </w:rPr>
        <w:t xml:space="preserve">) </w:t>
      </w:r>
      <w:r w:rsidR="004D155A" w:rsidRPr="007C66A0">
        <w:rPr>
          <w:rFonts w:ascii="Times New Roman" w:eastAsia="Times New Roman" w:hAnsi="Times New Roman"/>
          <w:lang w:val="bg" w:bidi="ar"/>
        </w:rPr>
        <w:t>От имотите, собственост на общини, с</w:t>
      </w:r>
      <w:r w:rsidRPr="007C66A0">
        <w:rPr>
          <w:rFonts w:ascii="Times New Roman" w:eastAsia="Times New Roman" w:hAnsi="Times New Roman"/>
          <w:lang w:val="bg" w:bidi="ar"/>
        </w:rPr>
        <w:t xml:space="preserve"> предимство се купуват </w:t>
      </w:r>
      <w:r w:rsidR="004D155A" w:rsidRPr="007C66A0">
        <w:rPr>
          <w:rFonts w:ascii="Times New Roman" w:eastAsia="Times New Roman" w:hAnsi="Times New Roman"/>
          <w:lang w:val="bg" w:bidi="ar"/>
        </w:rPr>
        <w:t>тези</w:t>
      </w:r>
      <w:r w:rsidRPr="007C66A0">
        <w:rPr>
          <w:rFonts w:ascii="Times New Roman" w:eastAsia="Times New Roman" w:hAnsi="Times New Roman"/>
          <w:lang w:val="bg" w:bidi="ar"/>
        </w:rPr>
        <w:t xml:space="preserve">, </w:t>
      </w:r>
      <w:r w:rsidRPr="00C510B1">
        <w:rPr>
          <w:rFonts w:ascii="Times New Roman" w:eastAsia="Times New Roman" w:hAnsi="Times New Roman"/>
          <w:lang w:val="bg" w:bidi="ar"/>
        </w:rPr>
        <w:t>в които преобладават насаждения с характеристики на "гора във фаза на старост", съгласно определението по т. 43 от §1 от Допълнителната разпоредба  на Наредба № 8/2011 г. за сечите в горите.</w:t>
      </w:r>
    </w:p>
    <w:p w14:paraId="02D2507A" w14:textId="77777777" w:rsidR="000C2A7C" w:rsidRDefault="000C2A7C" w:rsidP="00C510B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</w:p>
    <w:p w14:paraId="3A6CFF9B" w14:textId="77777777" w:rsidR="000C2A7C" w:rsidRDefault="000C2A7C" w:rsidP="000C2A7C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трета</w:t>
      </w:r>
    </w:p>
    <w:p w14:paraId="0296B37C" w14:textId="77777777" w:rsidR="000C2A7C" w:rsidRDefault="000C2A7C" w:rsidP="000C2A7C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 w:val="bg"/>
        </w:rPr>
      </w:pPr>
      <w:r>
        <w:rPr>
          <w:rFonts w:ascii="Times New Roman" w:hAnsi="Times New Roman"/>
          <w:b/>
          <w:bCs/>
          <w:sz w:val="24"/>
          <w:szCs w:val="24"/>
          <w:lang w:val="bg"/>
        </w:rPr>
        <w:t>СКЛЮЧВАНЕ НА ДОГОВОРИ ЗА ПОКУПКО-ПРОДАЖБА НА ГОРСКИ ТЕРИТОРИИ</w:t>
      </w:r>
    </w:p>
    <w:p w14:paraId="2DEC93BD" w14:textId="77777777" w:rsidR="000C2A7C" w:rsidRPr="00CC7B31" w:rsidRDefault="000C2A7C" w:rsidP="00923E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</w:p>
    <w:p w14:paraId="52D5BAFC" w14:textId="104FDAE8" w:rsidR="00C11212" w:rsidRDefault="00C11212" w:rsidP="00C112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1</w:t>
      </w:r>
      <w:r w:rsidR="00C510B1">
        <w:rPr>
          <w:rFonts w:eastAsia="Times New Roman"/>
          <w:b/>
          <w:lang w:val="bg" w:eastAsia="zh-CN" w:bidi="ar"/>
        </w:rPr>
        <w:t>6</w:t>
      </w:r>
      <w:r>
        <w:rPr>
          <w:rFonts w:eastAsia="Times New Roman"/>
          <w:b/>
          <w:lang w:val="bg" w:eastAsia="zh-CN" w:bidi="ar"/>
        </w:rPr>
        <w:t xml:space="preserve">. </w:t>
      </w:r>
      <w:r w:rsidRPr="00C11212">
        <w:rPr>
          <w:rFonts w:eastAsia="Times New Roman"/>
          <w:bCs/>
          <w:lang w:val="bg" w:eastAsia="zh-CN" w:bidi="ar"/>
        </w:rPr>
        <w:t>У</w:t>
      </w:r>
      <w:r>
        <w:rPr>
          <w:rFonts w:eastAsia="Times New Roman"/>
          <w:lang w:val="bg" w:eastAsia="zh-CN" w:bidi="ar"/>
        </w:rPr>
        <w:t>правителният съвет на ДП взема решение за отправяне на предложение до министъра на земеделието за изразходване на средства от фонд „Инвестиции в горите” по чл.</w:t>
      </w:r>
      <w:r w:rsidR="00161FDD">
        <w:rPr>
          <w:rFonts w:eastAsia="Times New Roman"/>
          <w:lang w:val="bg" w:eastAsia="zh-CN" w:bidi="ar"/>
        </w:rPr>
        <w:t> </w:t>
      </w:r>
      <w:r>
        <w:rPr>
          <w:rFonts w:eastAsia="Times New Roman"/>
          <w:lang w:val="bg" w:eastAsia="zh-CN" w:bidi="ar"/>
        </w:rPr>
        <w:t>179, ал. 2 от Закона за горите за закупуване на поземлени имоти в горски територии.</w:t>
      </w:r>
      <w:r w:rsidRPr="00C738DA">
        <w:rPr>
          <w:rFonts w:eastAsia="Times New Roman"/>
          <w:lang w:val="bg" w:eastAsia="zh-CN" w:bidi="ar"/>
        </w:rPr>
        <w:t xml:space="preserve"> </w:t>
      </w:r>
    </w:p>
    <w:p w14:paraId="6C732498" w14:textId="71823474" w:rsidR="00C11212" w:rsidRDefault="00C11212" w:rsidP="00C112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1</w:t>
      </w:r>
      <w:r w:rsidR="00C510B1">
        <w:rPr>
          <w:rFonts w:eastAsia="Times New Roman"/>
          <w:b/>
          <w:lang w:val="bg" w:eastAsia="zh-CN" w:bidi="ar"/>
        </w:rPr>
        <w:t>7</w:t>
      </w:r>
      <w:r>
        <w:rPr>
          <w:rFonts w:eastAsia="Times New Roman"/>
          <w:b/>
          <w:lang w:val="bg" w:eastAsia="zh-CN" w:bidi="ar"/>
        </w:rPr>
        <w:t xml:space="preserve">. </w:t>
      </w:r>
      <w:r w:rsidRPr="00EF2D21">
        <w:rPr>
          <w:rFonts w:eastAsia="Times New Roman"/>
          <w:bCs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r w:rsidR="00161FDD" w:rsidRPr="00161FDD">
        <w:rPr>
          <w:rFonts w:eastAsia="Times New Roman"/>
          <w:bCs/>
          <w:lang w:val="bg" w:eastAsia="zh-CN" w:bidi="ar"/>
        </w:rPr>
        <w:t>З</w:t>
      </w:r>
      <w:r>
        <w:rPr>
          <w:rFonts w:eastAsia="Times New Roman"/>
          <w:lang w:val="bg" w:eastAsia="zh-CN" w:bidi="ar"/>
        </w:rPr>
        <w:t xml:space="preserve">акупуването на поземлени имоти в горски територии от </w:t>
      </w:r>
      <w:r w:rsidRPr="00106709">
        <w:rPr>
          <w:rFonts w:eastAsia="Times New Roman"/>
          <w:lang w:val="bg" w:eastAsia="zh-CN" w:bidi="ar"/>
        </w:rPr>
        <w:t xml:space="preserve">ДП </w:t>
      </w:r>
      <w:r w:rsidR="00161FDD" w:rsidRPr="00106709">
        <w:rPr>
          <w:rFonts w:eastAsia="Times New Roman"/>
          <w:lang w:val="bg" w:eastAsia="zh-CN" w:bidi="ar"/>
        </w:rPr>
        <w:t>се осъществява</w:t>
      </w:r>
      <w:r w:rsidRPr="00106709">
        <w:rPr>
          <w:rFonts w:eastAsia="Times New Roman"/>
          <w:lang w:val="bg" w:eastAsia="zh-CN" w:bidi="ar"/>
        </w:rPr>
        <w:t xml:space="preserve"> със сключването на писмен договор</w:t>
      </w:r>
      <w:r>
        <w:rPr>
          <w:rFonts w:eastAsia="Times New Roman"/>
          <w:lang w:val="bg" w:eastAsia="zh-CN" w:bidi="ar"/>
        </w:rPr>
        <w:t xml:space="preserve"> за покупко-продажба в нотариална форма. От страна на купувача договорът се подписва от директора на предприятието или от упълномощено от него </w:t>
      </w:r>
      <w:r>
        <w:rPr>
          <w:rFonts w:eastAsia="Times New Roman"/>
          <w:lang w:val="bg" w:eastAsia="zh-CN" w:bidi="ar"/>
        </w:rPr>
        <w:lastRenderedPageBreak/>
        <w:t>лице.</w:t>
      </w:r>
      <w:r w:rsidRPr="00C738DA">
        <w:rPr>
          <w:rFonts w:eastAsia="Times New Roman"/>
          <w:lang w:val="bg" w:eastAsia="zh-CN" w:bidi="ar"/>
        </w:rPr>
        <w:t xml:space="preserve"> </w:t>
      </w:r>
      <w:r w:rsidRPr="001237BF">
        <w:rPr>
          <w:rFonts w:eastAsia="Times New Roman"/>
          <w:lang w:val="bg" w:eastAsia="zh-CN" w:bidi="ar"/>
        </w:rPr>
        <w:t>Нотариалните такси и таксата за вписване в Агенцията по вписванията се заплащат от страните поравно.</w:t>
      </w:r>
      <w:r w:rsidRPr="00C738DA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Разходите за местен данък за придобиване на имота се заплащат от </w:t>
      </w:r>
      <w:r w:rsidRPr="008931C2">
        <w:rPr>
          <w:rFonts w:eastAsia="Times New Roman"/>
          <w:lang w:val="bg" w:eastAsia="zh-CN" w:bidi="ar"/>
        </w:rPr>
        <w:t>съответното държавно предприятие</w:t>
      </w:r>
      <w:r>
        <w:rPr>
          <w:rFonts w:eastAsia="Times New Roman"/>
          <w:lang w:val="bg" w:eastAsia="zh-CN" w:bidi="ar"/>
        </w:rPr>
        <w:t>.</w:t>
      </w:r>
    </w:p>
    <w:p w14:paraId="184FCD43" w14:textId="77777777" w:rsidR="00C11212" w:rsidRDefault="00C11212" w:rsidP="00C112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(2) </w:t>
      </w:r>
      <w:r>
        <w:rPr>
          <w:rFonts w:eastAsia="Times New Roman"/>
        </w:rPr>
        <w:t xml:space="preserve">Договорите </w:t>
      </w:r>
      <w:r w:rsidRPr="0005372C">
        <w:rPr>
          <w:rFonts w:eastAsia="Times New Roman"/>
        </w:rPr>
        <w:t xml:space="preserve">по ал. 1 </w:t>
      </w:r>
      <w:r>
        <w:rPr>
          <w:rFonts w:eastAsia="Times New Roman"/>
        </w:rPr>
        <w:t>се сключват</w:t>
      </w:r>
      <w:r w:rsidRPr="0005372C">
        <w:rPr>
          <w:rFonts w:eastAsia="Times New Roman"/>
        </w:rPr>
        <w:t xml:space="preserve"> след </w:t>
      </w:r>
      <w:r>
        <w:rPr>
          <w:rFonts w:eastAsia="Times New Roman"/>
        </w:rPr>
        <w:t>решение на министъра на земеделието за разходване на средства от фонд „Инвестиции в горите“ за закупуване на поземлени имоти в горски територии</w:t>
      </w:r>
      <w:r w:rsidRPr="0005372C">
        <w:rPr>
          <w:rFonts w:eastAsia="Times New Roman"/>
        </w:rPr>
        <w:t>.</w:t>
      </w:r>
    </w:p>
    <w:p w14:paraId="6AF6F28B" w14:textId="3E1A555C" w:rsidR="00923EFF" w:rsidRPr="00C11212" w:rsidRDefault="00923EF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zh-CN" w:bidi="ar"/>
        </w:rPr>
      </w:pPr>
    </w:p>
    <w:p w14:paraId="7622B9AA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четвърта</w:t>
      </w:r>
    </w:p>
    <w:p w14:paraId="2D39B8A1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ОСИГУРЯВАНЕ НА ПУБЛИЧНОСТ НА СДЕЛКИТЕ ЗА ПОКУПКО-ПРОДАЖБА НА ГОРСКИ ТЕРИТОРИИ</w:t>
      </w:r>
    </w:p>
    <w:p w14:paraId="1A6CB45C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 w:val="bg"/>
        </w:rPr>
      </w:pPr>
    </w:p>
    <w:p w14:paraId="574FE5EB" w14:textId="02293CE9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0C2A7C">
        <w:rPr>
          <w:rFonts w:eastAsia="Times New Roman"/>
          <w:b/>
          <w:lang w:val="bg" w:eastAsia="zh-CN" w:bidi="ar"/>
        </w:rPr>
        <w:t>1</w:t>
      </w:r>
      <w:r w:rsidR="00C510B1">
        <w:rPr>
          <w:rFonts w:eastAsia="Times New Roman"/>
          <w:b/>
          <w:lang w:val="bg" w:eastAsia="zh-CN" w:bidi="ar"/>
        </w:rPr>
        <w:t>8</w:t>
      </w:r>
      <w:r w:rsidR="007B445F">
        <w:rPr>
          <w:rFonts w:eastAsia="Times New Roman"/>
          <w:b/>
          <w:lang w:val="bg" w:eastAsia="zh-CN" w:bidi="ar"/>
        </w:rPr>
        <w:t xml:space="preserve">. </w:t>
      </w:r>
      <w:r>
        <w:rPr>
          <w:rFonts w:eastAsia="Times New Roman"/>
          <w:lang w:val="bg" w:eastAsia="zh-CN" w:bidi="ar"/>
        </w:rPr>
        <w:t xml:space="preserve">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 w:bidi="ar"/>
        </w:rPr>
        <w:t xml:space="preserve">на </w:t>
      </w:r>
      <w:r>
        <w:rPr>
          <w:rFonts w:eastAsia="Times New Roman"/>
          <w:lang w:val="bg" w:eastAsia="zh-CN" w:bidi="ar"/>
        </w:rPr>
        <w:t xml:space="preserve">които са сключени договори за закупуване на горски територии от физически лица. </w:t>
      </w:r>
    </w:p>
    <w:p w14:paraId="2F344090" w14:textId="77777777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В информацията по ал. 1 се посочва видът на горските територии, стопанският клас, в случай, че те са насаждения, и типа на месторастенето.</w:t>
      </w:r>
      <w:r>
        <w:rPr>
          <w:lang w:val="bg"/>
        </w:rPr>
        <w:t xml:space="preserve"> </w:t>
      </w:r>
      <w:r>
        <w:rPr>
          <w:rFonts w:eastAsia="Times New Roman"/>
          <w:bCs/>
          <w:lang w:val="bg" w:eastAsia="zh-CN" w:bidi="ar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14:paraId="029DA623" w14:textId="400CD5C1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 w:val="bg" w:eastAsia="bg" w:bidi="ar"/>
        </w:rPr>
        <w:br w:type="page"/>
      </w:r>
      <w:r>
        <w:rPr>
          <w:bCs/>
        </w:rPr>
        <w:lastRenderedPageBreak/>
        <w:t xml:space="preserve">Приложение № 1 към чл. </w:t>
      </w:r>
      <w:r w:rsidR="00F52267">
        <w:rPr>
          <w:bCs/>
          <w:lang w:val="bg"/>
        </w:rPr>
        <w:t>7</w:t>
      </w:r>
      <w:r>
        <w:rPr>
          <w:bCs/>
        </w:rPr>
        <w:t>, ал. 1</w:t>
      </w:r>
    </w:p>
    <w:p w14:paraId="74FB4DA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14:paraId="67DFD232" w14:textId="77777777"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14:paraId="108FABBF" w14:textId="77777777" w:rsidR="00C7195F" w:rsidRPr="00DF3014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bg"/>
        </w:rPr>
      </w:pPr>
    </w:p>
    <w:p w14:paraId="72BC813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14:paraId="44B6427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 w14:paraId="2431C633" w14:textId="77777777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80E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14:paraId="2616365B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14:paraId="3D300FA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E9F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56CD6DDC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14:paraId="21FC73C1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14:paraId="6CF17CF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14:paraId="0754F9D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14:paraId="620241D0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14:paraId="0BA3C10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 w14:paraId="369B6BB5" w14:textId="77777777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807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28B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2519DF99" w14:textId="77777777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D719" w14:textId="77777777"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37A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6C058E67" w14:textId="77777777"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14:paraId="2C34F284" w14:textId="77777777"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6A" w14:textId="77777777"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 xml:space="preserve">    </w:t>
            </w: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58E8750E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BFF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5769" w14:textId="77777777"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14:paraId="4DC8481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14:paraId="17815D64" w14:textId="5A0998D3"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</w:t>
            </w:r>
            <w:r w:rsidR="00861501">
              <w:rPr>
                <w:sz w:val="18"/>
                <w:szCs w:val="18"/>
                <w:highlight w:val="white"/>
                <w:shd w:val="clear" w:color="auto" w:fill="FEFEFE"/>
              </w:rPr>
              <w:t>и/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или мобилен):</w:t>
            </w:r>
          </w:p>
        </w:tc>
      </w:tr>
      <w:tr w:rsidR="00C7195F" w14:paraId="2B560265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EF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CE15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14:paraId="45FADD7C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C06E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 w14:paraId="47C7B17E" w14:textId="77777777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ACA4" w14:textId="7FDE9221"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Моля, отбележете предпочитан начин за уведомяване</w:t>
            </w:r>
            <w:r w:rsidR="00F52267"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14:paraId="1E39E227" w14:textId="77777777"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14:paraId="2DA5AC17" w14:textId="77777777"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 w14:paraId="12DBF4B8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F0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5144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35E4723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98C0D60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9A6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3EA0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65FE583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6F989FD2" w14:textId="77777777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53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C0C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051AC8D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7A655F20" w14:textId="77777777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DD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E97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2E75DB28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755DADBC" w14:textId="77777777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2EA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95A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EA6F04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F95C155" w14:textId="77777777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77D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95A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461004D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1D4952F5" w14:textId="77777777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B9EF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14:paraId="6BB800EE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14:paraId="0D089503" w14:textId="77777777"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 w14:paraId="15148FE3" w14:textId="77777777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3B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2231AA1B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840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4712F32A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№ на ПИ, находящ се в земл..... , ЕКАТТЕ......................</w:t>
            </w:r>
          </w:p>
          <w:p w14:paraId="3D076C06" w14:textId="77777777"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CE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14:paraId="70D7779C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 w14:paraId="6BA465BC" w14:textId="77777777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11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906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2A4DAFC" w14:textId="77777777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9B8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B63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5206A31C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37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75238476" w14:textId="77777777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C92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3E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2092455D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439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84FFDFC" w14:textId="77777777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73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4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6925FCF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9C1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1D2E280" w14:textId="77777777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38B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A8E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A656FC2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BD4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71E60F3" w14:textId="77777777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437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20B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189B1574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45F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4D7DA6AC" w14:textId="77777777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A2C36" w14:textId="77777777"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 xml:space="preserve">                 </w:t>
            </w:r>
          </w:p>
          <w:p w14:paraId="50FED69A" w14:textId="77777777"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  <w:r>
              <w:rPr>
                <w:highlight w:val="white"/>
                <w:shd w:val="clear" w:color="auto" w:fill="FEFEFE"/>
              </w:rPr>
              <w:t xml:space="preserve"> </w:t>
            </w:r>
          </w:p>
          <w:p w14:paraId="5B7BBA9E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34B33616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14:paraId="5A2EB90A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 w14:paraId="377E21CE" w14:textId="77777777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FDB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990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33F3BD75" w14:textId="56D0F9AE"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</w:t>
            </w:r>
            <w:r w:rsidR="008319E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="008319E0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>от заявителя копие на документ за</w:t>
            </w:r>
            <w:r w:rsidRPr="00DF3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AAC" w14:textId="77777777"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4E474C5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3F3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27E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067E674D" w14:textId="40F90B2F"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„Вярно с оригинала“ и подпис </w:t>
            </w:r>
            <w:r>
              <w:rPr>
                <w:sz w:val="22"/>
                <w:szCs w:val="22"/>
              </w:rPr>
              <w:t>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B3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04AC103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F86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9F6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732C3145" w14:textId="2B5D36F7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</w:t>
            </w:r>
            <w:r w:rsidR="007A6BA3" w:rsidRP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 xml:space="preserve">от заявителя копие на </w:t>
            </w:r>
            <w:r w:rsidR="00B17ACB" w:rsidRPr="003C51B3">
              <w:rPr>
                <w:sz w:val="22"/>
                <w:szCs w:val="22"/>
              </w:rPr>
              <w:t>актуално</w:t>
            </w:r>
            <w:r w:rsidR="00B17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909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4F5BA1ED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C5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FEC" w14:textId="77777777"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14:paraId="2A4BDB11" w14:textId="05F9914F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 xml:space="preserve">Заверено </w:t>
            </w:r>
            <w:r w:rsidR="007A6BA3">
              <w:rPr>
                <w:sz w:val="22"/>
                <w:szCs w:val="22"/>
                <w:shd w:val="clear" w:color="auto" w:fill="FEFEFE"/>
              </w:rPr>
              <w:t xml:space="preserve">с </w:t>
            </w:r>
            <w:r w:rsid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  <w:shd w:val="clear" w:color="auto" w:fill="FEFEFE"/>
              </w:rPr>
              <w:t>от заявителя копие на нотариално заверено пълномощно от собственика/съсобствениците на имота</w:t>
            </w:r>
            <w:r w:rsidRPr="00DF3014">
              <w:rPr>
                <w:sz w:val="22"/>
                <w:szCs w:val="22"/>
                <w:shd w:val="clear" w:color="auto" w:fill="FEFEFE"/>
              </w:rPr>
              <w:t xml:space="preserve"> -</w:t>
            </w:r>
            <w:r>
              <w:rPr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D8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</w:tbl>
    <w:p w14:paraId="3CB8428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14:paraId="58A89E1C" w14:textId="4A92323D" w:rsidR="008B5EC8" w:rsidRDefault="008B5EC8" w:rsidP="008B5EC8">
      <w:pPr>
        <w:widowControl w:val="0"/>
        <w:autoSpaceDE w:val="0"/>
        <w:autoSpaceDN w:val="0"/>
        <w:adjustRightInd w:val="0"/>
        <w:ind w:firstLine="426"/>
        <w:jc w:val="both"/>
      </w:pPr>
      <w:r w:rsidRPr="008B5EC8">
        <w:t xml:space="preserve">Декларирам, че </w:t>
      </w:r>
      <w:r w:rsidR="00861501" w:rsidRPr="008B5EC8">
        <w:t xml:space="preserve">няма да се извършва ползване на дървесина </w:t>
      </w:r>
      <w:r w:rsidR="00861501">
        <w:t xml:space="preserve">в насажденията </w:t>
      </w:r>
      <w:r w:rsidRPr="008B5EC8">
        <w:t>в имот</w:t>
      </w:r>
      <w:r w:rsidR="002A481A">
        <w:t>а</w:t>
      </w:r>
      <w:r w:rsidRPr="008B5EC8">
        <w:t xml:space="preserve">/ имотите в периода от подаване на заявлението до сключване на сделка за покупко-продажба или до </w:t>
      </w:r>
      <w:r w:rsidR="00A937C9" w:rsidRPr="00A937C9">
        <w:rPr>
          <w:lang w:val="bg"/>
        </w:rPr>
        <w:t xml:space="preserve">или до публикуването на основания/мотиви за отказ за сключване </w:t>
      </w:r>
      <w:r w:rsidR="00A937C9" w:rsidRPr="00A937C9">
        <w:t>на сделка</w:t>
      </w:r>
      <w:r w:rsidRPr="008B5EC8">
        <w:t xml:space="preserve">. Информиран съм, в случай че се установи, че </w:t>
      </w:r>
      <w:r w:rsidR="00D571ED" w:rsidRPr="006C17F9">
        <w:rPr>
          <w:rFonts w:eastAsia="Times New Roman"/>
          <w:lang w:val="bg" w:eastAsia="zh-CN" w:bidi="ar"/>
        </w:rPr>
        <w:t xml:space="preserve">в </w:t>
      </w:r>
      <w:r w:rsidR="00D571ED">
        <w:rPr>
          <w:rFonts w:eastAsia="Times New Roman"/>
          <w:lang w:val="bg" w:eastAsia="zh-CN" w:bidi="ar"/>
        </w:rPr>
        <w:t xml:space="preserve">периода след </w:t>
      </w:r>
      <w:r w:rsidR="00A937C9" w:rsidRPr="00CC7B31">
        <w:rPr>
          <w:rFonts w:eastAsia="Times New Roman"/>
          <w:lang w:val="bg" w:bidi="ar"/>
        </w:rPr>
        <w:t xml:space="preserve">извършване на </w:t>
      </w:r>
      <w:r w:rsidR="00A937C9">
        <w:rPr>
          <w:rFonts w:eastAsia="Times New Roman"/>
          <w:lang w:val="bg" w:bidi="ar"/>
        </w:rPr>
        <w:t>теренната проверка п</w:t>
      </w:r>
      <w:r w:rsidR="00A937C9" w:rsidRPr="00CC7B31">
        <w:rPr>
          <w:rFonts w:eastAsia="Times New Roman"/>
          <w:lang w:val="bg" w:bidi="ar"/>
        </w:rPr>
        <w:t>о чл. 1</w:t>
      </w:r>
      <w:r w:rsidR="00A937C9">
        <w:rPr>
          <w:rFonts w:eastAsia="Times New Roman"/>
          <w:lang w:val="bg" w:bidi="ar"/>
        </w:rPr>
        <w:t>2</w:t>
      </w:r>
      <w:r w:rsidR="00A937C9" w:rsidRPr="00CC7B31">
        <w:rPr>
          <w:rFonts w:eastAsia="Times New Roman"/>
          <w:lang w:val="bg" w:bidi="ar"/>
        </w:rPr>
        <w:t xml:space="preserve"> </w:t>
      </w:r>
      <w:r w:rsidR="00A937C9">
        <w:rPr>
          <w:rFonts w:eastAsia="Times New Roman"/>
          <w:lang w:val="bg" w:bidi="ar"/>
        </w:rPr>
        <w:t>до сключването на сделка за покупко-продажба на имота</w:t>
      </w:r>
      <w:r w:rsidR="00D571ED" w:rsidRPr="006C17F9">
        <w:rPr>
          <w:rFonts w:eastAsia="Times New Roman"/>
          <w:lang w:val="bg" w:eastAsia="zh-CN" w:bidi="ar"/>
        </w:rPr>
        <w:t xml:space="preserve"> има издадено позволително за сеч за имота </w:t>
      </w:r>
      <w:r w:rsidR="00D571ED">
        <w:rPr>
          <w:rFonts w:eastAsia="Times New Roman"/>
          <w:lang w:val="bg" w:eastAsia="zh-CN" w:bidi="ar"/>
        </w:rPr>
        <w:t>и</w:t>
      </w:r>
      <w:r w:rsidR="00D571ED" w:rsidRPr="006C17F9">
        <w:rPr>
          <w:rFonts w:eastAsia="Times New Roman"/>
          <w:lang w:val="bg" w:eastAsia="zh-CN" w:bidi="ar"/>
        </w:rPr>
        <w:t xml:space="preserve"> е извършено ползване на дървесина в него, ДП има право да откаже да го закупи</w:t>
      </w:r>
      <w:r w:rsidRPr="008B5EC8">
        <w:t>.</w:t>
      </w:r>
      <w:r w:rsidR="00861501">
        <w:t xml:space="preserve"> </w:t>
      </w:r>
    </w:p>
    <w:p w14:paraId="6EAFAFBF" w14:textId="77777777" w:rsidR="008B5EC8" w:rsidRDefault="008B5EC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3DD83B3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     </w:t>
      </w:r>
    </w:p>
    <w:p w14:paraId="64121C27" w14:textId="0985AE1A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3014">
        <w:rPr>
          <w:b/>
          <w:sz w:val="20"/>
          <w:szCs w:val="20"/>
          <w:highlight w:val="white"/>
          <w:shd w:val="clear" w:color="auto" w:fill="FEFEFE"/>
        </w:rPr>
        <w:t xml:space="preserve">          </w:t>
      </w:r>
      <w:r>
        <w:rPr>
          <w:b/>
          <w:sz w:val="20"/>
          <w:szCs w:val="20"/>
          <w:highlight w:val="white"/>
          <w:shd w:val="clear" w:color="auto" w:fill="FEFEFE"/>
        </w:rPr>
        <w:t>2. Документите по т. 1</w:t>
      </w:r>
      <w:r w:rsidR="00DF7D11" w:rsidRPr="00DF7D11">
        <w:rPr>
          <w:b/>
          <w:sz w:val="20"/>
          <w:szCs w:val="20"/>
          <w:highlight w:val="white"/>
          <w:shd w:val="clear" w:color="auto" w:fill="FEFEFE"/>
        </w:rPr>
        <w:t xml:space="preserve"> </w:t>
      </w:r>
      <w:r w:rsidR="00DF7D11">
        <w:rPr>
          <w:b/>
          <w:sz w:val="20"/>
          <w:szCs w:val="20"/>
          <w:highlight w:val="white"/>
          <w:shd w:val="clear" w:color="auto" w:fill="FEFEFE"/>
        </w:rPr>
        <w:t>и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2 са задължителни, а тези по т. 3 и 4 – само в посочените случаи.</w:t>
      </w:r>
      <w:r>
        <w:rPr>
          <w:sz w:val="20"/>
          <w:szCs w:val="20"/>
        </w:rPr>
        <w:t xml:space="preserve"> </w:t>
      </w:r>
    </w:p>
    <w:p w14:paraId="25CEF1D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0F218221" w14:textId="77777777"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14:paraId="1389F379" w14:textId="77777777"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14:paraId="2E4E2760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14:paraId="07494D1E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14:paraId="22203711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14:paraId="50A5023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6551F41B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14:paraId="140E95A4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E8F624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заявителя/ите и/или на упълномощените лица:</w:t>
      </w:r>
    </w:p>
    <w:p w14:paraId="2DBA5CB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19"/>
      </w:tblGrid>
      <w:tr w:rsidR="00C7195F" w14:paraId="47E9F30E" w14:textId="77777777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183BC49" w14:textId="77777777"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14:paraId="15DB1443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14:paraId="10A51C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14:paraId="294B722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14:paraId="4E67C5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14:paraId="7E190579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14:paraId="20F3E6C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14:paraId="6E44A0E3" w14:textId="77777777" w:rsidR="003C51B3" w:rsidRDefault="003C51B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2DDADF7F" w14:textId="77777777" w:rsidR="004B5772" w:rsidRDefault="004B577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27F43027" w14:textId="77777777" w:rsidR="004B5772" w:rsidRDefault="004B577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297F65AA" w14:textId="77777777" w:rsidR="004B5772" w:rsidRDefault="004B577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3D73F6BA" w14:textId="06D83EC5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Приложение № </w:t>
      </w:r>
      <w:r w:rsidR="00F52267">
        <w:rPr>
          <w:bCs/>
        </w:rPr>
        <w:t>2</w:t>
      </w:r>
      <w:r w:rsidR="00A937C9">
        <w:rPr>
          <w:bCs/>
        </w:rPr>
        <w:t xml:space="preserve"> </w:t>
      </w:r>
      <w:r>
        <w:rPr>
          <w:bCs/>
        </w:rPr>
        <w:t xml:space="preserve">към чл. </w:t>
      </w:r>
      <w:r w:rsidR="00F52267">
        <w:rPr>
          <w:bCs/>
        </w:rPr>
        <w:t>8</w:t>
      </w:r>
      <w:r>
        <w:rPr>
          <w:bCs/>
        </w:rPr>
        <w:t>, ал. 2</w:t>
      </w:r>
    </w:p>
    <w:p w14:paraId="24CD1D4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71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6341"/>
        <w:gridCol w:w="2835"/>
      </w:tblGrid>
      <w:tr w:rsidR="00C7195F" w14:paraId="0144288C" w14:textId="77777777" w:rsidTr="004B5772">
        <w:trPr>
          <w:trHeight w:val="1022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BE81EBA" w14:textId="77777777"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EFB6CA" w14:textId="77777777"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 w14:paraId="159D438B" w14:textId="77777777" w:rsidTr="004B5772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ED42913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C3889C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00B8940" w14:textId="6874C900" w:rsidR="00C7195F" w:rsidRDefault="00DF7D11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Постоянен</w:t>
            </w:r>
          </w:p>
        </w:tc>
      </w:tr>
      <w:tr w:rsidR="00C7195F" w14:paraId="643DE376" w14:textId="77777777" w:rsidTr="004B5772">
        <w:trPr>
          <w:trHeight w:val="125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D34DADA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7FBCAF3D" w14:textId="129C9BA9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Разглеждане на </w:t>
            </w:r>
            <w:r w:rsidR="00A937C9">
              <w:rPr>
                <w:shd w:val="clear" w:color="auto" w:fill="FEFEFE"/>
              </w:rPr>
              <w:t xml:space="preserve">подадените </w:t>
            </w:r>
            <w:r>
              <w:rPr>
                <w:shd w:val="clear" w:color="auto" w:fill="FEFEFE"/>
              </w:rPr>
              <w:t>заяв</w:t>
            </w:r>
            <w:r w:rsidR="00A937C9">
              <w:rPr>
                <w:shd w:val="clear" w:color="auto" w:fill="FEFEFE"/>
              </w:rPr>
              <w:t>ления и документи към тях</w:t>
            </w:r>
            <w:r>
              <w:rPr>
                <w:shd w:val="clear" w:color="auto" w:fill="FEFEFE"/>
              </w:rPr>
              <w:t xml:space="preserve"> за продажба имоти и обявяване на резултатите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9BB365" w14:textId="50415CCF" w:rsidR="00C7195F" w:rsidRDefault="00DF7D11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Веднъж на всеки три месеца</w:t>
            </w:r>
            <w:r w:rsidR="008112E3">
              <w:rPr>
                <w:shd w:val="clear" w:color="auto" w:fill="FEFEFE"/>
              </w:rPr>
              <w:t>; три работни дни след изготвяне на протокола</w:t>
            </w:r>
          </w:p>
        </w:tc>
      </w:tr>
      <w:tr w:rsidR="00C7195F" w14:paraId="4A78D6CC" w14:textId="77777777" w:rsidTr="004B5772">
        <w:trPr>
          <w:trHeight w:val="140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54C016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FDFB174" w14:textId="4CA8519A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Възлагане и изготвяне на оценка от правоспособни оценители, регистрирани по Закона за независимите оценители, на </w:t>
            </w:r>
            <w:r w:rsidR="00DF7D11">
              <w:rPr>
                <w:shd w:val="clear" w:color="auto" w:fill="FEFEFE"/>
              </w:rPr>
              <w:t xml:space="preserve">допуснатите </w:t>
            </w:r>
            <w:r>
              <w:rPr>
                <w:shd w:val="clear" w:color="auto" w:fill="FEFEFE"/>
              </w:rPr>
              <w:t>имоти и извършване на оглед на терена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03A7767A" w14:textId="6B8A7BF7" w:rsidR="00C7195F" w:rsidRDefault="00C7195F" w:rsidP="00DC58FB">
            <w:pPr>
              <w:jc w:val="center"/>
            </w:pPr>
            <w:r>
              <w:t xml:space="preserve">До </w:t>
            </w:r>
            <w:r w:rsidR="00B26EA5">
              <w:t>1</w:t>
            </w:r>
            <w:r w:rsidR="00DC58FB">
              <w:t xml:space="preserve"> месец</w:t>
            </w:r>
            <w:r>
              <w:t xml:space="preserve"> от </w:t>
            </w:r>
            <w:r w:rsidR="00DF7D11">
              <w:t xml:space="preserve">публикуване на </w:t>
            </w:r>
            <w:r w:rsidR="00B26EA5">
              <w:t xml:space="preserve">списъка с </w:t>
            </w:r>
            <w:r w:rsidR="00DF7D11">
              <w:t>допуснатите имоти</w:t>
            </w:r>
            <w:r>
              <w:t xml:space="preserve"> </w:t>
            </w:r>
          </w:p>
        </w:tc>
      </w:tr>
      <w:tr w:rsidR="00C7195F" w14:paraId="42FD8B7C" w14:textId="77777777" w:rsidTr="004B5772">
        <w:trPr>
          <w:trHeight w:val="111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8D53DF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7B69E6B" w14:textId="5E9B62C4" w:rsidR="00C7195F" w:rsidRPr="00DF3014" w:rsidRDefault="00982FE5">
            <w:pPr>
              <w:spacing w:after="120"/>
              <w:rPr>
                <w:shd w:val="clear" w:color="auto" w:fill="FEFEFE"/>
              </w:rPr>
            </w:pPr>
            <w:r>
              <w:rPr>
                <w:rFonts w:eastAsia="Times New Roman"/>
                <w:lang w:val="bg" w:eastAsia="zh-CN" w:bidi="ar"/>
              </w:rPr>
              <w:t>П</w:t>
            </w:r>
            <w:r w:rsidRPr="00923EFF">
              <w:rPr>
                <w:rFonts w:eastAsia="Times New Roman"/>
                <w:lang w:val="bg" w:eastAsia="zh-CN" w:bidi="ar"/>
              </w:rPr>
              <w:t>убликува</w:t>
            </w:r>
            <w:r>
              <w:rPr>
                <w:rFonts w:eastAsia="Times New Roman"/>
                <w:lang w:val="bg" w:eastAsia="zh-CN" w:bidi="ar"/>
              </w:rPr>
              <w:t>не на</w:t>
            </w:r>
            <w:r w:rsidRPr="00923EFF">
              <w:rPr>
                <w:rFonts w:eastAsia="Times New Roman"/>
                <w:lang w:val="bg" w:eastAsia="zh-CN" w:bidi="ar"/>
              </w:rPr>
              <w:t xml:space="preserve"> информация за стойността на оценените поземлени имоти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43E85479" w14:textId="38160F2C" w:rsidR="00C7195F" w:rsidRDefault="00982FE5">
            <w:pPr>
              <w:jc w:val="center"/>
            </w:pPr>
            <w:r w:rsidRPr="00923EFF">
              <w:rPr>
                <w:rFonts w:eastAsia="Times New Roman"/>
                <w:lang w:val="bg" w:eastAsia="zh-CN" w:bidi="ar"/>
              </w:rPr>
              <w:t>5-дневен срок след приемането на оценките</w:t>
            </w:r>
            <w:r>
              <w:rPr>
                <w:rFonts w:eastAsia="Times New Roman"/>
                <w:lang w:val="bg" w:eastAsia="zh-CN" w:bidi="ar"/>
              </w:rPr>
              <w:t xml:space="preserve"> по т. 3</w:t>
            </w:r>
          </w:p>
        </w:tc>
      </w:tr>
      <w:tr w:rsidR="00C7195F" w14:paraId="5937F5CF" w14:textId="77777777" w:rsidTr="00B26EA5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3DCF29C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E5406FE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189CFA38" w14:textId="2119BE80" w:rsidR="00C7195F" w:rsidRDefault="00C7195F">
            <w:pPr>
              <w:jc w:val="center"/>
            </w:pPr>
            <w:r>
              <w:t xml:space="preserve">До 10 работни дни от обявяване на </w:t>
            </w:r>
            <w:r w:rsidR="004B5772">
              <w:t>информацията по т. 4</w:t>
            </w:r>
          </w:p>
        </w:tc>
      </w:tr>
      <w:tr w:rsidR="00C7195F" w14:paraId="6DD44C2E" w14:textId="77777777" w:rsidTr="00B26EA5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52DDDA4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40B5B4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2B8FD24" w14:textId="1F411093" w:rsidR="00C7195F" w:rsidRDefault="004B5772" w:rsidP="00C77580">
            <w:pPr>
              <w:jc w:val="center"/>
            </w:pPr>
            <w:r>
              <w:rPr>
                <w:shd w:val="clear" w:color="auto" w:fill="FEFEFE"/>
              </w:rPr>
              <w:t>До</w:t>
            </w:r>
            <w:r w:rsidR="00C7195F">
              <w:rPr>
                <w:shd w:val="clear" w:color="auto" w:fill="FEFEFE"/>
              </w:rPr>
              <w:t xml:space="preserve"> </w:t>
            </w:r>
            <w:r w:rsidR="00C77580">
              <w:rPr>
                <w:color w:val="2F5496" w:themeColor="accent1" w:themeShade="BF"/>
                <w:shd w:val="clear" w:color="auto" w:fill="FEFEFE"/>
              </w:rPr>
              <w:t>3</w:t>
            </w:r>
            <w:r w:rsidR="00C42BF7">
              <w:rPr>
                <w:color w:val="2F5496" w:themeColor="accent1" w:themeShade="BF"/>
                <w:shd w:val="clear" w:color="auto" w:fill="FEFEFE"/>
              </w:rPr>
              <w:t xml:space="preserve"> </w:t>
            </w:r>
            <w:r w:rsidR="00C7195F">
              <w:rPr>
                <w:shd w:val="clear" w:color="auto" w:fill="FEFEFE"/>
              </w:rPr>
              <w:t>месеца</w:t>
            </w:r>
            <w:r w:rsidR="0011479C">
              <w:rPr>
                <w:shd w:val="clear" w:color="auto" w:fill="FEFEFE"/>
              </w:rPr>
              <w:t xml:space="preserve"> </w:t>
            </w:r>
            <w:r w:rsidR="00C7195F">
              <w:rPr>
                <w:shd w:val="clear" w:color="auto" w:fill="FEFEFE"/>
              </w:rPr>
              <w:t>от датата на получаване на уведомлението</w:t>
            </w:r>
            <w:r w:rsidR="00C7195F">
              <w:t xml:space="preserve"> </w:t>
            </w:r>
            <w:r>
              <w:t>по т. 5</w:t>
            </w:r>
          </w:p>
        </w:tc>
      </w:tr>
    </w:tbl>
    <w:p w14:paraId="6579722F" w14:textId="77777777" w:rsidR="00C7195F" w:rsidRPr="00DF3014" w:rsidRDefault="00C7195F">
      <w:pPr>
        <w:pStyle w:val="aa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eastAsia="en-US"/>
        </w:rPr>
      </w:pPr>
    </w:p>
    <w:sectPr w:rsidR="00C7195F" w:rsidRPr="00DF3014">
      <w:footerReference w:type="even" r:id="rId8"/>
      <w:footerReference w:type="default" r:id="rId9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69CD" w14:textId="77777777" w:rsidR="0068578B" w:rsidRDefault="0068578B">
      <w:r>
        <w:separator/>
      </w:r>
    </w:p>
  </w:endnote>
  <w:endnote w:type="continuationSeparator" w:id="0">
    <w:p w14:paraId="61D9478D" w14:textId="77777777" w:rsidR="0068578B" w:rsidRDefault="0068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DD6" w14:textId="77777777" w:rsidR="00C7195F" w:rsidRDefault="00C7195F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A73730A" w14:textId="77777777" w:rsidR="00C7195F" w:rsidRDefault="00C7195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5BD6" w14:textId="77777777" w:rsidR="00C7195F" w:rsidRDefault="00C7195F">
    <w:pPr>
      <w:pStyle w:val="a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C66A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405CF184" w14:textId="77777777" w:rsidR="00C7195F" w:rsidRDefault="00C7195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0403" w14:textId="77777777" w:rsidR="0068578B" w:rsidRDefault="0068578B">
      <w:r>
        <w:separator/>
      </w:r>
    </w:p>
  </w:footnote>
  <w:footnote w:type="continuationSeparator" w:id="0">
    <w:p w14:paraId="30F36BD7" w14:textId="77777777" w:rsidR="0068578B" w:rsidRDefault="0068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0745394"/>
    <w:multiLevelType w:val="hybridMultilevel"/>
    <w:tmpl w:val="6826DF8A"/>
    <w:lvl w:ilvl="0" w:tplc="3B28ED0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0C"/>
    <w:rsid w:val="00006BBE"/>
    <w:rsid w:val="000102A3"/>
    <w:rsid w:val="00013A62"/>
    <w:rsid w:val="00025014"/>
    <w:rsid w:val="00026D55"/>
    <w:rsid w:val="00030713"/>
    <w:rsid w:val="000329C9"/>
    <w:rsid w:val="000424C5"/>
    <w:rsid w:val="00042674"/>
    <w:rsid w:val="0005372C"/>
    <w:rsid w:val="0006227B"/>
    <w:rsid w:val="0006466B"/>
    <w:rsid w:val="000660F3"/>
    <w:rsid w:val="000666E0"/>
    <w:rsid w:val="000719F0"/>
    <w:rsid w:val="00077F48"/>
    <w:rsid w:val="00080A1C"/>
    <w:rsid w:val="00081A66"/>
    <w:rsid w:val="000842D6"/>
    <w:rsid w:val="0009468F"/>
    <w:rsid w:val="00094D1C"/>
    <w:rsid w:val="000A4618"/>
    <w:rsid w:val="000A649A"/>
    <w:rsid w:val="000A7428"/>
    <w:rsid w:val="000A78FD"/>
    <w:rsid w:val="000B0ADE"/>
    <w:rsid w:val="000B64BD"/>
    <w:rsid w:val="000B6EDB"/>
    <w:rsid w:val="000C2A7C"/>
    <w:rsid w:val="000C31E7"/>
    <w:rsid w:val="000C59BA"/>
    <w:rsid w:val="000D1607"/>
    <w:rsid w:val="000D2DB8"/>
    <w:rsid w:val="000D6E0C"/>
    <w:rsid w:val="000E29A9"/>
    <w:rsid w:val="000E7EF1"/>
    <w:rsid w:val="000F37B2"/>
    <w:rsid w:val="001026CB"/>
    <w:rsid w:val="00105FFC"/>
    <w:rsid w:val="00106709"/>
    <w:rsid w:val="00107EEC"/>
    <w:rsid w:val="00113F5C"/>
    <w:rsid w:val="0011479C"/>
    <w:rsid w:val="0011634A"/>
    <w:rsid w:val="001237BF"/>
    <w:rsid w:val="00124B8B"/>
    <w:rsid w:val="0012542E"/>
    <w:rsid w:val="00127BDA"/>
    <w:rsid w:val="00130102"/>
    <w:rsid w:val="00136546"/>
    <w:rsid w:val="001428DB"/>
    <w:rsid w:val="001463DF"/>
    <w:rsid w:val="001467A1"/>
    <w:rsid w:val="00152129"/>
    <w:rsid w:val="001533D6"/>
    <w:rsid w:val="001555AD"/>
    <w:rsid w:val="00161FDD"/>
    <w:rsid w:val="00171C8D"/>
    <w:rsid w:val="00177577"/>
    <w:rsid w:val="00182270"/>
    <w:rsid w:val="00183DC9"/>
    <w:rsid w:val="00191DC6"/>
    <w:rsid w:val="00192525"/>
    <w:rsid w:val="00192580"/>
    <w:rsid w:val="00194994"/>
    <w:rsid w:val="001B1862"/>
    <w:rsid w:val="001B1DA9"/>
    <w:rsid w:val="001B496A"/>
    <w:rsid w:val="001C064B"/>
    <w:rsid w:val="001C11A2"/>
    <w:rsid w:val="001C24A7"/>
    <w:rsid w:val="001C65C6"/>
    <w:rsid w:val="001D2719"/>
    <w:rsid w:val="001D604C"/>
    <w:rsid w:val="001E5736"/>
    <w:rsid w:val="001E77AD"/>
    <w:rsid w:val="001E796A"/>
    <w:rsid w:val="001F04AA"/>
    <w:rsid w:val="001F3945"/>
    <w:rsid w:val="001F660F"/>
    <w:rsid w:val="001F77EE"/>
    <w:rsid w:val="00207BA3"/>
    <w:rsid w:val="0021344B"/>
    <w:rsid w:val="00213D70"/>
    <w:rsid w:val="00214ACA"/>
    <w:rsid w:val="00224320"/>
    <w:rsid w:val="00225518"/>
    <w:rsid w:val="0023186D"/>
    <w:rsid w:val="00233A99"/>
    <w:rsid w:val="0023780C"/>
    <w:rsid w:val="00237E5F"/>
    <w:rsid w:val="0024042E"/>
    <w:rsid w:val="00243F18"/>
    <w:rsid w:val="002452A4"/>
    <w:rsid w:val="002472C2"/>
    <w:rsid w:val="00250246"/>
    <w:rsid w:val="0025044E"/>
    <w:rsid w:val="00255F30"/>
    <w:rsid w:val="0027037A"/>
    <w:rsid w:val="002740DB"/>
    <w:rsid w:val="002752FA"/>
    <w:rsid w:val="00286586"/>
    <w:rsid w:val="00290D0B"/>
    <w:rsid w:val="00293D38"/>
    <w:rsid w:val="002A481A"/>
    <w:rsid w:val="002A61CC"/>
    <w:rsid w:val="002B1592"/>
    <w:rsid w:val="002B2B6C"/>
    <w:rsid w:val="002B33A9"/>
    <w:rsid w:val="002B47E8"/>
    <w:rsid w:val="002B754C"/>
    <w:rsid w:val="002C11BA"/>
    <w:rsid w:val="002C178E"/>
    <w:rsid w:val="002D44F3"/>
    <w:rsid w:val="002E1CC9"/>
    <w:rsid w:val="002E7396"/>
    <w:rsid w:val="002E7FB8"/>
    <w:rsid w:val="002F7736"/>
    <w:rsid w:val="00301E11"/>
    <w:rsid w:val="0030201C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366BE"/>
    <w:rsid w:val="00343E6B"/>
    <w:rsid w:val="0034712A"/>
    <w:rsid w:val="0035523A"/>
    <w:rsid w:val="0036323B"/>
    <w:rsid w:val="003707A7"/>
    <w:rsid w:val="00372915"/>
    <w:rsid w:val="00376DA2"/>
    <w:rsid w:val="0038148C"/>
    <w:rsid w:val="0038768A"/>
    <w:rsid w:val="00391F26"/>
    <w:rsid w:val="00394072"/>
    <w:rsid w:val="0039508C"/>
    <w:rsid w:val="00395954"/>
    <w:rsid w:val="003A21E6"/>
    <w:rsid w:val="003A5189"/>
    <w:rsid w:val="003B0191"/>
    <w:rsid w:val="003C51B3"/>
    <w:rsid w:val="003D2F78"/>
    <w:rsid w:val="003D7D45"/>
    <w:rsid w:val="003E3966"/>
    <w:rsid w:val="003E5448"/>
    <w:rsid w:val="003F2C64"/>
    <w:rsid w:val="003F4E98"/>
    <w:rsid w:val="003F5FBA"/>
    <w:rsid w:val="00400923"/>
    <w:rsid w:val="00402655"/>
    <w:rsid w:val="00403495"/>
    <w:rsid w:val="00403F29"/>
    <w:rsid w:val="00405CAD"/>
    <w:rsid w:val="00407022"/>
    <w:rsid w:val="00414235"/>
    <w:rsid w:val="0041655C"/>
    <w:rsid w:val="0041737C"/>
    <w:rsid w:val="00417BCF"/>
    <w:rsid w:val="00420DFC"/>
    <w:rsid w:val="00421D6A"/>
    <w:rsid w:val="004238D5"/>
    <w:rsid w:val="004279D2"/>
    <w:rsid w:val="00432B54"/>
    <w:rsid w:val="00432BD9"/>
    <w:rsid w:val="00433C74"/>
    <w:rsid w:val="00437D55"/>
    <w:rsid w:val="00447A3B"/>
    <w:rsid w:val="00452D26"/>
    <w:rsid w:val="00461BAE"/>
    <w:rsid w:val="0046312F"/>
    <w:rsid w:val="00465079"/>
    <w:rsid w:val="0047091E"/>
    <w:rsid w:val="00470E44"/>
    <w:rsid w:val="004713F7"/>
    <w:rsid w:val="00472880"/>
    <w:rsid w:val="0047328D"/>
    <w:rsid w:val="00480502"/>
    <w:rsid w:val="00481361"/>
    <w:rsid w:val="0049365A"/>
    <w:rsid w:val="00497032"/>
    <w:rsid w:val="004A066F"/>
    <w:rsid w:val="004A60A7"/>
    <w:rsid w:val="004B5772"/>
    <w:rsid w:val="004C2889"/>
    <w:rsid w:val="004C319A"/>
    <w:rsid w:val="004C355A"/>
    <w:rsid w:val="004C64B3"/>
    <w:rsid w:val="004D155A"/>
    <w:rsid w:val="004D1ACB"/>
    <w:rsid w:val="004D1F98"/>
    <w:rsid w:val="004D517B"/>
    <w:rsid w:val="004E1B7A"/>
    <w:rsid w:val="004E1C11"/>
    <w:rsid w:val="004E1FBF"/>
    <w:rsid w:val="004E7D9B"/>
    <w:rsid w:val="004F1150"/>
    <w:rsid w:val="004F324B"/>
    <w:rsid w:val="004F46B7"/>
    <w:rsid w:val="004F47DC"/>
    <w:rsid w:val="004F6BB1"/>
    <w:rsid w:val="00500C88"/>
    <w:rsid w:val="005033B2"/>
    <w:rsid w:val="00507090"/>
    <w:rsid w:val="005136E1"/>
    <w:rsid w:val="00524819"/>
    <w:rsid w:val="005363D0"/>
    <w:rsid w:val="00540DDD"/>
    <w:rsid w:val="0054686F"/>
    <w:rsid w:val="005553E0"/>
    <w:rsid w:val="00565C4A"/>
    <w:rsid w:val="00570D33"/>
    <w:rsid w:val="00571FCA"/>
    <w:rsid w:val="00573360"/>
    <w:rsid w:val="00573D8A"/>
    <w:rsid w:val="00574D40"/>
    <w:rsid w:val="005772D8"/>
    <w:rsid w:val="00584D88"/>
    <w:rsid w:val="005868D1"/>
    <w:rsid w:val="005901C0"/>
    <w:rsid w:val="00594403"/>
    <w:rsid w:val="00597E38"/>
    <w:rsid w:val="005A045B"/>
    <w:rsid w:val="005A2CFB"/>
    <w:rsid w:val="005A3B8A"/>
    <w:rsid w:val="005B1DC9"/>
    <w:rsid w:val="005B6111"/>
    <w:rsid w:val="005D5634"/>
    <w:rsid w:val="005E6F28"/>
    <w:rsid w:val="006042A8"/>
    <w:rsid w:val="00607E54"/>
    <w:rsid w:val="0061333E"/>
    <w:rsid w:val="006147DE"/>
    <w:rsid w:val="00620A4E"/>
    <w:rsid w:val="006221A9"/>
    <w:rsid w:val="006230E8"/>
    <w:rsid w:val="006253D1"/>
    <w:rsid w:val="0062664E"/>
    <w:rsid w:val="00631695"/>
    <w:rsid w:val="0063210D"/>
    <w:rsid w:val="00634840"/>
    <w:rsid w:val="00651928"/>
    <w:rsid w:val="006571B9"/>
    <w:rsid w:val="00660736"/>
    <w:rsid w:val="00661607"/>
    <w:rsid w:val="00661642"/>
    <w:rsid w:val="0066169F"/>
    <w:rsid w:val="00664BDE"/>
    <w:rsid w:val="0067059A"/>
    <w:rsid w:val="00671A71"/>
    <w:rsid w:val="00684FF4"/>
    <w:rsid w:val="0068578B"/>
    <w:rsid w:val="00686091"/>
    <w:rsid w:val="00695E19"/>
    <w:rsid w:val="006967B5"/>
    <w:rsid w:val="006C17F9"/>
    <w:rsid w:val="006C2DF8"/>
    <w:rsid w:val="006C5DD9"/>
    <w:rsid w:val="006C63EF"/>
    <w:rsid w:val="006C69BB"/>
    <w:rsid w:val="006D0A98"/>
    <w:rsid w:val="006D1325"/>
    <w:rsid w:val="006E0D2C"/>
    <w:rsid w:val="006E0D4F"/>
    <w:rsid w:val="006E394E"/>
    <w:rsid w:val="006E3AB8"/>
    <w:rsid w:val="006E4B44"/>
    <w:rsid w:val="006E6C9C"/>
    <w:rsid w:val="006F00BE"/>
    <w:rsid w:val="006F15C0"/>
    <w:rsid w:val="006F30CC"/>
    <w:rsid w:val="006F3C19"/>
    <w:rsid w:val="006F74D3"/>
    <w:rsid w:val="00700FDA"/>
    <w:rsid w:val="00703142"/>
    <w:rsid w:val="0070341C"/>
    <w:rsid w:val="0070358D"/>
    <w:rsid w:val="00714B92"/>
    <w:rsid w:val="007244B6"/>
    <w:rsid w:val="0072516A"/>
    <w:rsid w:val="00726D49"/>
    <w:rsid w:val="00730843"/>
    <w:rsid w:val="00731261"/>
    <w:rsid w:val="007316F4"/>
    <w:rsid w:val="00733115"/>
    <w:rsid w:val="00735E11"/>
    <w:rsid w:val="00737108"/>
    <w:rsid w:val="00743822"/>
    <w:rsid w:val="00744A7B"/>
    <w:rsid w:val="0074632A"/>
    <w:rsid w:val="007528AA"/>
    <w:rsid w:val="0075646F"/>
    <w:rsid w:val="007571FB"/>
    <w:rsid w:val="0076093A"/>
    <w:rsid w:val="007636E1"/>
    <w:rsid w:val="00767482"/>
    <w:rsid w:val="007735C8"/>
    <w:rsid w:val="0078151C"/>
    <w:rsid w:val="0078289E"/>
    <w:rsid w:val="00785417"/>
    <w:rsid w:val="0079209E"/>
    <w:rsid w:val="00794537"/>
    <w:rsid w:val="00794A95"/>
    <w:rsid w:val="00795747"/>
    <w:rsid w:val="00796BBD"/>
    <w:rsid w:val="00796E27"/>
    <w:rsid w:val="007A4329"/>
    <w:rsid w:val="007A6BA3"/>
    <w:rsid w:val="007B1E4B"/>
    <w:rsid w:val="007B445F"/>
    <w:rsid w:val="007B64A5"/>
    <w:rsid w:val="007B6909"/>
    <w:rsid w:val="007B7C00"/>
    <w:rsid w:val="007C00BB"/>
    <w:rsid w:val="007C0A77"/>
    <w:rsid w:val="007C43A4"/>
    <w:rsid w:val="007C5B8D"/>
    <w:rsid w:val="007C66A0"/>
    <w:rsid w:val="007D01E2"/>
    <w:rsid w:val="007D0AA5"/>
    <w:rsid w:val="007D0CC0"/>
    <w:rsid w:val="007D2E17"/>
    <w:rsid w:val="007D5BF4"/>
    <w:rsid w:val="007D7F7F"/>
    <w:rsid w:val="007E0C63"/>
    <w:rsid w:val="007E3028"/>
    <w:rsid w:val="007F4A24"/>
    <w:rsid w:val="008004DC"/>
    <w:rsid w:val="00804219"/>
    <w:rsid w:val="00805BEE"/>
    <w:rsid w:val="008112E3"/>
    <w:rsid w:val="008240F4"/>
    <w:rsid w:val="00824951"/>
    <w:rsid w:val="008261B6"/>
    <w:rsid w:val="00827172"/>
    <w:rsid w:val="008319E0"/>
    <w:rsid w:val="00833F05"/>
    <w:rsid w:val="0083561F"/>
    <w:rsid w:val="0083771B"/>
    <w:rsid w:val="008608B1"/>
    <w:rsid w:val="00861501"/>
    <w:rsid w:val="00863D9E"/>
    <w:rsid w:val="0087150F"/>
    <w:rsid w:val="008716E2"/>
    <w:rsid w:val="008732E4"/>
    <w:rsid w:val="0087599A"/>
    <w:rsid w:val="00882D60"/>
    <w:rsid w:val="008845C3"/>
    <w:rsid w:val="00892E7C"/>
    <w:rsid w:val="008931C2"/>
    <w:rsid w:val="008934D7"/>
    <w:rsid w:val="008A0BF5"/>
    <w:rsid w:val="008A0C3C"/>
    <w:rsid w:val="008A191E"/>
    <w:rsid w:val="008B1BD6"/>
    <w:rsid w:val="008B33FF"/>
    <w:rsid w:val="008B5EC8"/>
    <w:rsid w:val="008B67EB"/>
    <w:rsid w:val="008E1850"/>
    <w:rsid w:val="008E3790"/>
    <w:rsid w:val="008E6BBA"/>
    <w:rsid w:val="008F0790"/>
    <w:rsid w:val="008F1390"/>
    <w:rsid w:val="0090309D"/>
    <w:rsid w:val="00911DC7"/>
    <w:rsid w:val="00923EFF"/>
    <w:rsid w:val="009240F5"/>
    <w:rsid w:val="009276CC"/>
    <w:rsid w:val="00930DB5"/>
    <w:rsid w:val="00936040"/>
    <w:rsid w:val="00937590"/>
    <w:rsid w:val="00945280"/>
    <w:rsid w:val="009509D1"/>
    <w:rsid w:val="00950C5C"/>
    <w:rsid w:val="00950F10"/>
    <w:rsid w:val="009519CC"/>
    <w:rsid w:val="00956E88"/>
    <w:rsid w:val="00970638"/>
    <w:rsid w:val="00981256"/>
    <w:rsid w:val="00982FE5"/>
    <w:rsid w:val="00996B61"/>
    <w:rsid w:val="009979C7"/>
    <w:rsid w:val="00997A63"/>
    <w:rsid w:val="009A0767"/>
    <w:rsid w:val="009B5BD0"/>
    <w:rsid w:val="009C193F"/>
    <w:rsid w:val="009C196E"/>
    <w:rsid w:val="009C4977"/>
    <w:rsid w:val="009D554C"/>
    <w:rsid w:val="009E7E2F"/>
    <w:rsid w:val="00A012FC"/>
    <w:rsid w:val="00A018A9"/>
    <w:rsid w:val="00A03212"/>
    <w:rsid w:val="00A036A1"/>
    <w:rsid w:val="00A1157C"/>
    <w:rsid w:val="00A11AE5"/>
    <w:rsid w:val="00A13A31"/>
    <w:rsid w:val="00A31225"/>
    <w:rsid w:val="00A3344B"/>
    <w:rsid w:val="00A339B9"/>
    <w:rsid w:val="00A34404"/>
    <w:rsid w:val="00A347BC"/>
    <w:rsid w:val="00A455F9"/>
    <w:rsid w:val="00A53F75"/>
    <w:rsid w:val="00A57413"/>
    <w:rsid w:val="00A61638"/>
    <w:rsid w:val="00A63966"/>
    <w:rsid w:val="00A652C9"/>
    <w:rsid w:val="00A675FD"/>
    <w:rsid w:val="00A678B4"/>
    <w:rsid w:val="00A67A1D"/>
    <w:rsid w:val="00A7249C"/>
    <w:rsid w:val="00A75BA5"/>
    <w:rsid w:val="00A81BB5"/>
    <w:rsid w:val="00A84956"/>
    <w:rsid w:val="00A917F7"/>
    <w:rsid w:val="00A926AD"/>
    <w:rsid w:val="00A937C9"/>
    <w:rsid w:val="00A94A38"/>
    <w:rsid w:val="00A956DF"/>
    <w:rsid w:val="00AA7863"/>
    <w:rsid w:val="00AB1946"/>
    <w:rsid w:val="00AB482C"/>
    <w:rsid w:val="00AC32D5"/>
    <w:rsid w:val="00AC671E"/>
    <w:rsid w:val="00AD0FE0"/>
    <w:rsid w:val="00AD1079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17ACB"/>
    <w:rsid w:val="00B210B3"/>
    <w:rsid w:val="00B248AA"/>
    <w:rsid w:val="00B26EA5"/>
    <w:rsid w:val="00B3173C"/>
    <w:rsid w:val="00B32213"/>
    <w:rsid w:val="00B338C4"/>
    <w:rsid w:val="00B41A72"/>
    <w:rsid w:val="00B553B5"/>
    <w:rsid w:val="00B71154"/>
    <w:rsid w:val="00B74B3A"/>
    <w:rsid w:val="00B77AE7"/>
    <w:rsid w:val="00B8025D"/>
    <w:rsid w:val="00B84D14"/>
    <w:rsid w:val="00B85F74"/>
    <w:rsid w:val="00B8741E"/>
    <w:rsid w:val="00B93009"/>
    <w:rsid w:val="00B95869"/>
    <w:rsid w:val="00B96541"/>
    <w:rsid w:val="00BA0368"/>
    <w:rsid w:val="00BA23B7"/>
    <w:rsid w:val="00BA4817"/>
    <w:rsid w:val="00BB758A"/>
    <w:rsid w:val="00BC0D80"/>
    <w:rsid w:val="00BC23D9"/>
    <w:rsid w:val="00BC4B58"/>
    <w:rsid w:val="00BC520C"/>
    <w:rsid w:val="00BD04DB"/>
    <w:rsid w:val="00BD7362"/>
    <w:rsid w:val="00BE7579"/>
    <w:rsid w:val="00BF0EBD"/>
    <w:rsid w:val="00BF6ED5"/>
    <w:rsid w:val="00BF79D0"/>
    <w:rsid w:val="00C0529B"/>
    <w:rsid w:val="00C11212"/>
    <w:rsid w:val="00C11F9B"/>
    <w:rsid w:val="00C15BE7"/>
    <w:rsid w:val="00C16BB8"/>
    <w:rsid w:val="00C23FF9"/>
    <w:rsid w:val="00C2620B"/>
    <w:rsid w:val="00C274B4"/>
    <w:rsid w:val="00C319DC"/>
    <w:rsid w:val="00C328FE"/>
    <w:rsid w:val="00C365F7"/>
    <w:rsid w:val="00C37B65"/>
    <w:rsid w:val="00C42BF7"/>
    <w:rsid w:val="00C44DA4"/>
    <w:rsid w:val="00C510B1"/>
    <w:rsid w:val="00C6393C"/>
    <w:rsid w:val="00C6472A"/>
    <w:rsid w:val="00C67183"/>
    <w:rsid w:val="00C7195F"/>
    <w:rsid w:val="00C7264D"/>
    <w:rsid w:val="00C76DE8"/>
    <w:rsid w:val="00C77580"/>
    <w:rsid w:val="00C8240A"/>
    <w:rsid w:val="00C8539D"/>
    <w:rsid w:val="00C87300"/>
    <w:rsid w:val="00C903E4"/>
    <w:rsid w:val="00C922C8"/>
    <w:rsid w:val="00C93691"/>
    <w:rsid w:val="00C97861"/>
    <w:rsid w:val="00CA6531"/>
    <w:rsid w:val="00CA6D00"/>
    <w:rsid w:val="00CB52DC"/>
    <w:rsid w:val="00CB6867"/>
    <w:rsid w:val="00CB7CC8"/>
    <w:rsid w:val="00CC01F0"/>
    <w:rsid w:val="00CC5C8D"/>
    <w:rsid w:val="00CD03C6"/>
    <w:rsid w:val="00CD1F2A"/>
    <w:rsid w:val="00CD2D70"/>
    <w:rsid w:val="00CD5108"/>
    <w:rsid w:val="00CD64B8"/>
    <w:rsid w:val="00CE0A87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12D9E"/>
    <w:rsid w:val="00D13FC5"/>
    <w:rsid w:val="00D202FE"/>
    <w:rsid w:val="00D266D2"/>
    <w:rsid w:val="00D26C60"/>
    <w:rsid w:val="00D30EF5"/>
    <w:rsid w:val="00D37A65"/>
    <w:rsid w:val="00D40276"/>
    <w:rsid w:val="00D45DA7"/>
    <w:rsid w:val="00D4622E"/>
    <w:rsid w:val="00D52A79"/>
    <w:rsid w:val="00D569D1"/>
    <w:rsid w:val="00D571ED"/>
    <w:rsid w:val="00D57F3F"/>
    <w:rsid w:val="00D6232D"/>
    <w:rsid w:val="00D6273D"/>
    <w:rsid w:val="00D67802"/>
    <w:rsid w:val="00D713E6"/>
    <w:rsid w:val="00D854D4"/>
    <w:rsid w:val="00D85DD0"/>
    <w:rsid w:val="00D872F5"/>
    <w:rsid w:val="00DA207D"/>
    <w:rsid w:val="00DB1326"/>
    <w:rsid w:val="00DB5B10"/>
    <w:rsid w:val="00DC19CE"/>
    <w:rsid w:val="00DC1FCB"/>
    <w:rsid w:val="00DC3341"/>
    <w:rsid w:val="00DC58FB"/>
    <w:rsid w:val="00DD14FE"/>
    <w:rsid w:val="00DD36AB"/>
    <w:rsid w:val="00DE0560"/>
    <w:rsid w:val="00DE58F6"/>
    <w:rsid w:val="00DF3014"/>
    <w:rsid w:val="00DF375D"/>
    <w:rsid w:val="00DF428B"/>
    <w:rsid w:val="00DF7D11"/>
    <w:rsid w:val="00E00113"/>
    <w:rsid w:val="00E0080A"/>
    <w:rsid w:val="00E0795D"/>
    <w:rsid w:val="00E100D8"/>
    <w:rsid w:val="00E13A86"/>
    <w:rsid w:val="00E13FE8"/>
    <w:rsid w:val="00E14BB9"/>
    <w:rsid w:val="00E24422"/>
    <w:rsid w:val="00E25F3E"/>
    <w:rsid w:val="00E324D5"/>
    <w:rsid w:val="00E32A38"/>
    <w:rsid w:val="00E33F48"/>
    <w:rsid w:val="00E342A8"/>
    <w:rsid w:val="00E35DDD"/>
    <w:rsid w:val="00E41A41"/>
    <w:rsid w:val="00E50ED2"/>
    <w:rsid w:val="00E523CE"/>
    <w:rsid w:val="00E5596E"/>
    <w:rsid w:val="00E60C9B"/>
    <w:rsid w:val="00E62EBD"/>
    <w:rsid w:val="00E639B3"/>
    <w:rsid w:val="00E63DD9"/>
    <w:rsid w:val="00E64221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A52C2"/>
    <w:rsid w:val="00EA6610"/>
    <w:rsid w:val="00EB28F1"/>
    <w:rsid w:val="00EB3F19"/>
    <w:rsid w:val="00EB587F"/>
    <w:rsid w:val="00EC3C77"/>
    <w:rsid w:val="00EC4CC8"/>
    <w:rsid w:val="00ED24D6"/>
    <w:rsid w:val="00ED48B3"/>
    <w:rsid w:val="00F03EDA"/>
    <w:rsid w:val="00F07EEC"/>
    <w:rsid w:val="00F07EF3"/>
    <w:rsid w:val="00F1008A"/>
    <w:rsid w:val="00F11E74"/>
    <w:rsid w:val="00F13B28"/>
    <w:rsid w:val="00F15490"/>
    <w:rsid w:val="00F16BE4"/>
    <w:rsid w:val="00F17BAA"/>
    <w:rsid w:val="00F2117C"/>
    <w:rsid w:val="00F21B27"/>
    <w:rsid w:val="00F22079"/>
    <w:rsid w:val="00F24905"/>
    <w:rsid w:val="00F249CE"/>
    <w:rsid w:val="00F26B9B"/>
    <w:rsid w:val="00F26C46"/>
    <w:rsid w:val="00F33E98"/>
    <w:rsid w:val="00F40213"/>
    <w:rsid w:val="00F43B51"/>
    <w:rsid w:val="00F46078"/>
    <w:rsid w:val="00F50B18"/>
    <w:rsid w:val="00F51613"/>
    <w:rsid w:val="00F52267"/>
    <w:rsid w:val="00F54B71"/>
    <w:rsid w:val="00F5615A"/>
    <w:rsid w:val="00F614AD"/>
    <w:rsid w:val="00F630D3"/>
    <w:rsid w:val="00F659E4"/>
    <w:rsid w:val="00F717E5"/>
    <w:rsid w:val="00F766E8"/>
    <w:rsid w:val="00F8378C"/>
    <w:rsid w:val="00F87A82"/>
    <w:rsid w:val="00F90AAC"/>
    <w:rsid w:val="00F93E84"/>
    <w:rsid w:val="00F9683D"/>
    <w:rsid w:val="00F96B9B"/>
    <w:rsid w:val="00F97775"/>
    <w:rsid w:val="00FA1748"/>
    <w:rsid w:val="00FB0466"/>
    <w:rsid w:val="00FC066A"/>
    <w:rsid w:val="00FC3878"/>
    <w:rsid w:val="00FC7E33"/>
    <w:rsid w:val="00FD200A"/>
    <w:rsid w:val="00FD407F"/>
    <w:rsid w:val="00FE49D3"/>
    <w:rsid w:val="00FF0FF5"/>
    <w:rsid w:val="00FF1CB5"/>
    <w:rsid w:val="00FF204A"/>
    <w:rsid w:val="00FF3EAB"/>
    <w:rsid w:val="00FF41E0"/>
    <w:rsid w:val="00FF4741"/>
    <w:rsid w:val="00FF483E"/>
    <w:rsid w:val="00FF4EB4"/>
    <w:rsid w:val="00FF5231"/>
    <w:rsid w:val="00FF5E76"/>
    <w:rsid w:val="041206FD"/>
    <w:rsid w:val="07985E19"/>
    <w:rsid w:val="0DDB7AE3"/>
    <w:rsid w:val="752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2909B3"/>
  <w15:docId w15:val="{492B8011-AFC9-4DE8-BA40-AC2E0838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  <w:rPr>
      <w:lang w:val="en-GB" w:eastAsia="en-US"/>
    </w:rPr>
  </w:style>
  <w:style w:type="character" w:styleId="a4">
    <w:name w:val="annotation reference"/>
    <w:rPr>
      <w:sz w:val="16"/>
      <w:szCs w:val="16"/>
    </w:rPr>
  </w:style>
  <w:style w:type="paragraph" w:styleId="a5">
    <w:name w:val="annotation text"/>
    <w:basedOn w:val="a"/>
    <w:link w:val="a6"/>
    <w:rPr>
      <w:sz w:val="20"/>
      <w:szCs w:val="20"/>
    </w:rPr>
  </w:style>
  <w:style w:type="character" w:customStyle="1" w:styleId="a6">
    <w:name w:val="Текст на коментар Знак"/>
    <w:link w:val="a5"/>
    <w:rPr>
      <w:lang w:val="bg-BG" w:eastAsia="bg-BG"/>
    </w:rPr>
  </w:style>
  <w:style w:type="paragraph" w:styleId="a7">
    <w:name w:val="annotation subject"/>
    <w:basedOn w:val="a5"/>
    <w:next w:val="a5"/>
    <w:link w:val="a8"/>
    <w:rPr>
      <w:b/>
      <w:bCs/>
    </w:rPr>
  </w:style>
  <w:style w:type="character" w:customStyle="1" w:styleId="a8">
    <w:name w:val="Предмет на коментар Знак"/>
    <w:link w:val="a7"/>
    <w:rPr>
      <w:b/>
      <w:bCs/>
      <w:lang w:val="bg-BG" w:eastAsia="bg-BG"/>
    </w:rPr>
  </w:style>
  <w:style w:type="character" w:styleId="a9">
    <w:name w:val="Emphasis"/>
    <w:qFormat/>
    <w:rPr>
      <w:i/>
      <w:iCs/>
    </w:rPr>
  </w:style>
  <w:style w:type="paragraph" w:styleId="aa">
    <w:name w:val="footer"/>
    <w:basedOn w:val="a"/>
    <w:link w:val="ab"/>
    <w:uiPriority w:val="99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Pr>
      <w:sz w:val="24"/>
      <w:szCs w:val="24"/>
    </w:rPr>
  </w:style>
  <w:style w:type="paragraph" w:styleId="ac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d">
    <w:name w:val="Normal (Web)"/>
    <w:uiPriority w:val="99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ae">
    <w:name w:val="page number"/>
  </w:style>
  <w:style w:type="paragraph" w:styleId="af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a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af1">
    <w:name w:val="Revision"/>
    <w:hidden/>
    <w:uiPriority w:val="99"/>
    <w:unhideWhenUsed/>
    <w:rsid w:val="00247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90B8-602F-4B3A-8252-7C680CB1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User_2</cp:lastModifiedBy>
  <cp:revision>4</cp:revision>
  <cp:lastPrinted>2023-05-26T14:49:00Z</cp:lastPrinted>
  <dcterms:created xsi:type="dcterms:W3CDTF">2023-06-15T13:18:00Z</dcterms:created>
  <dcterms:modified xsi:type="dcterms:W3CDTF">2023-06-16T05:47:00Z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